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5F921" w14:textId="77777777" w:rsidR="00BF60DC" w:rsidRPr="00B235D7" w:rsidRDefault="00D65889" w:rsidP="00B235D7">
      <w:pPr>
        <w:ind w:firstLine="720"/>
        <w:jc w:val="right"/>
        <w:rPr>
          <w:b/>
          <w:bCs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235D7" w:rsidRPr="00B235D7">
        <w:rPr>
          <w:b/>
          <w:bCs/>
        </w:rPr>
        <w:t>НАЦРТ</w:t>
      </w:r>
    </w:p>
    <w:p w14:paraId="20935283" w14:textId="77777777" w:rsidR="00BF60DC" w:rsidRDefault="00BF60DC" w:rsidP="008077FC">
      <w:pPr>
        <w:ind w:firstLine="720"/>
        <w:jc w:val="both"/>
      </w:pPr>
    </w:p>
    <w:p w14:paraId="4ED1382A" w14:textId="77777777" w:rsidR="008077FC" w:rsidRPr="00955E08" w:rsidRDefault="008077FC" w:rsidP="008077FC">
      <w:pPr>
        <w:ind w:firstLine="720"/>
        <w:jc w:val="both"/>
      </w:pPr>
      <w:r w:rsidRPr="00955E08">
        <w:t xml:space="preserve">На основу члана </w:t>
      </w:r>
      <w:r w:rsidRPr="00955E08">
        <w:rPr>
          <w:lang w:val="sr-Cyrl-CS"/>
        </w:rPr>
        <w:t>84</w:t>
      </w:r>
      <w:r w:rsidRPr="00955E08">
        <w:t xml:space="preserve">. став </w:t>
      </w:r>
      <w:r w:rsidRPr="00955E08">
        <w:rPr>
          <w:lang w:val="sr-Cyrl-CS"/>
        </w:rPr>
        <w:t>3</w:t>
      </w:r>
      <w:r w:rsidRPr="00955E08">
        <w:t>. Закона о електронским комуникацијама</w:t>
      </w:r>
      <w:r w:rsidR="00D42277">
        <w:t xml:space="preserve"> </w:t>
      </w:r>
      <w:r w:rsidR="00D42277">
        <w:rPr>
          <w:rFonts w:eastAsia="Lucida Sans Unicode"/>
          <w:lang w:val="sr-Cyrl-CS" w:bidi="en-US"/>
        </w:rPr>
        <w:t>(</w:t>
      </w:r>
      <w:r w:rsidR="00D42277">
        <w:rPr>
          <w:rFonts w:eastAsia="Lucida Sans Unicode"/>
          <w:lang w:val="sr-Latn-CS" w:bidi="en-US"/>
        </w:rPr>
        <w:t>„</w:t>
      </w:r>
      <w:r w:rsidR="00D42277">
        <w:rPr>
          <w:rFonts w:eastAsia="Lucida Sans Unicode"/>
          <w:lang w:val="sr-Cyrl-CS" w:bidi="en-US"/>
        </w:rPr>
        <w:t>Службени гласник РС</w:t>
      </w:r>
      <w:r w:rsidR="00D42277">
        <w:rPr>
          <w:rFonts w:eastAsia="Lucida Sans Unicode"/>
          <w:lang w:val="sr-Latn-CS" w:bidi="en-US"/>
        </w:rPr>
        <w:t>“</w:t>
      </w:r>
      <w:r w:rsidR="00D42277">
        <w:rPr>
          <w:rFonts w:eastAsia="Lucida Sans Unicode"/>
          <w:lang w:val="sr-Cyrl-CS" w:bidi="en-US"/>
        </w:rPr>
        <w:t xml:space="preserve">, </w:t>
      </w:r>
      <w:r w:rsidR="00D42277">
        <w:rPr>
          <w:color w:val="000000"/>
        </w:rPr>
        <w:t xml:space="preserve">бр. 44/10, </w:t>
      </w:r>
      <w:r w:rsidR="00D42277">
        <w:rPr>
          <w:rFonts w:eastAsia="Lucida Sans Unicode"/>
          <w:lang w:val="sr-Cyrl-CS" w:bidi="en-US"/>
        </w:rPr>
        <w:t>60/13</w:t>
      </w:r>
      <w:r w:rsidR="005D7DDC">
        <w:rPr>
          <w:rFonts w:eastAsia="Lucida Sans Unicode"/>
          <w:lang w:val="sr-Cyrl-CS" w:bidi="en-US"/>
        </w:rPr>
        <w:t>-</w:t>
      </w:r>
      <w:r w:rsidR="00D42277">
        <w:rPr>
          <w:rFonts w:eastAsia="Lucida Sans Unicode"/>
          <w:lang w:val="sr-Cyrl-CS" w:bidi="en-US"/>
        </w:rPr>
        <w:t>УС</w:t>
      </w:r>
      <w:r w:rsidR="00D42277">
        <w:rPr>
          <w:color w:val="000000"/>
        </w:rPr>
        <w:t xml:space="preserve">, 62/14 и 95/18-др. </w:t>
      </w:r>
      <w:r w:rsidR="003E5996">
        <w:rPr>
          <w:color w:val="000000"/>
        </w:rPr>
        <w:t>з</w:t>
      </w:r>
      <w:r w:rsidR="00D42277">
        <w:rPr>
          <w:color w:val="000000"/>
        </w:rPr>
        <w:t>акон</w:t>
      </w:r>
      <w:r w:rsidR="00EE7673">
        <w:rPr>
          <w:color w:val="000000"/>
        </w:rPr>
        <w:t>)</w:t>
      </w:r>
      <w:r w:rsidRPr="00955E08">
        <w:rPr>
          <w:lang w:val="sr-Cyrl-CS"/>
        </w:rPr>
        <w:t xml:space="preserve">, а у вези са Уредбом о утврђивању Плана намене </w:t>
      </w:r>
      <w:r w:rsidRPr="00955E08">
        <w:t>радио-фреквенцијских опсега (</w:t>
      </w:r>
      <w:r w:rsidRPr="00955E08">
        <w:rPr>
          <w:lang w:val="sr-Cyrl-CS"/>
        </w:rPr>
        <w:t>„</w:t>
      </w:r>
      <w:r w:rsidRPr="00955E08">
        <w:t>Службени гласник РС</w:t>
      </w:r>
      <w:r w:rsidR="005B524B">
        <w:t>“</w:t>
      </w:r>
      <w:r w:rsidRPr="00955E08">
        <w:t>, бр</w:t>
      </w:r>
      <w:r w:rsidRPr="00955E08">
        <w:rPr>
          <w:lang w:val="sr-Cyrl-CS"/>
        </w:rPr>
        <w:t>ој</w:t>
      </w:r>
      <w:r w:rsidRPr="00955E08">
        <w:t xml:space="preserve"> </w:t>
      </w:r>
      <w:r w:rsidR="00B235D7">
        <w:t>8</w:t>
      </w:r>
      <w:r w:rsidRPr="00955E08">
        <w:t>9/</w:t>
      </w:r>
      <w:r w:rsidR="00B235D7">
        <w:t>20</w:t>
      </w:r>
      <w:r w:rsidRPr="00955E08">
        <w:t>)</w:t>
      </w:r>
      <w:r w:rsidRPr="00955E08">
        <w:rPr>
          <w:lang w:val="sr-Cyrl-CS"/>
        </w:rPr>
        <w:t>,</w:t>
      </w:r>
      <w:r w:rsidRPr="00955E08">
        <w:t xml:space="preserve"> уз учешће надлежног органа аутономне покрајине</w:t>
      </w:r>
      <w:r w:rsidRPr="00955E08">
        <w:rPr>
          <w:lang w:val="sr-Cyrl-CS"/>
        </w:rPr>
        <w:t xml:space="preserve">, </w:t>
      </w:r>
      <w:r w:rsidRPr="00955E08">
        <w:t xml:space="preserve">на предлог </w:t>
      </w:r>
      <w:r w:rsidR="00D912C6">
        <w:rPr>
          <w:lang w:val="sr-Cyrl-CS"/>
        </w:rPr>
        <w:t>Регулаторне</w:t>
      </w:r>
      <w:r w:rsidRPr="00955E08">
        <w:t xml:space="preserve"> агенције за електронске комуникације</w:t>
      </w:r>
      <w:r w:rsidR="00D912C6">
        <w:rPr>
          <w:lang w:val="sr-Cyrl-CS"/>
        </w:rPr>
        <w:t xml:space="preserve"> и поштанске услуге</w:t>
      </w:r>
      <w:r w:rsidRPr="00955E08">
        <w:t xml:space="preserve">, </w:t>
      </w:r>
    </w:p>
    <w:p w14:paraId="4B649586" w14:textId="77777777" w:rsidR="008077FC" w:rsidRPr="00955E08" w:rsidRDefault="008077FC" w:rsidP="008077FC">
      <w:pPr>
        <w:ind w:firstLine="720"/>
        <w:jc w:val="both"/>
      </w:pPr>
      <w:r w:rsidRPr="00955E08">
        <w:rPr>
          <w:b/>
          <w:bCs/>
          <w:lang w:val="sr-Cyrl-CS"/>
        </w:rPr>
        <w:t> </w:t>
      </w:r>
    </w:p>
    <w:p w14:paraId="6CC90F97" w14:textId="77777777" w:rsidR="008077FC" w:rsidRPr="00955E08" w:rsidRDefault="008077FC" w:rsidP="0051305E">
      <w:pPr>
        <w:pStyle w:val="Footer"/>
        <w:jc w:val="both"/>
        <w:rPr>
          <w:lang w:val="sr-Latn-CS"/>
        </w:rPr>
      </w:pPr>
      <w:r w:rsidRPr="00955E08">
        <w:t>         </w:t>
      </w:r>
      <w:r w:rsidRPr="005E024B">
        <w:t>Министар</w:t>
      </w:r>
      <w:r w:rsidRPr="005E024B">
        <w:rPr>
          <w:lang w:val="sr-Cyrl-CS"/>
        </w:rPr>
        <w:t xml:space="preserve">ство </w:t>
      </w:r>
      <w:r w:rsidRPr="005E024B">
        <w:t>трговине</w:t>
      </w:r>
      <w:r w:rsidR="002959A7">
        <w:t xml:space="preserve">, туризма и </w:t>
      </w:r>
      <w:r w:rsidRPr="005E024B">
        <w:t>телекомуникација доноси</w:t>
      </w:r>
      <w:r w:rsidR="001E3D19" w:rsidRPr="005E024B">
        <w:t xml:space="preserve"> </w:t>
      </w:r>
    </w:p>
    <w:p w14:paraId="786812DB" w14:textId="77777777" w:rsidR="008077FC" w:rsidRPr="00955E08" w:rsidRDefault="008077FC" w:rsidP="008077FC">
      <w:pPr>
        <w:pStyle w:val="Footer"/>
      </w:pPr>
      <w:r w:rsidRPr="00955E08">
        <w:rPr>
          <w:lang w:val="sr-Cyrl-CS"/>
        </w:rPr>
        <w:t> </w:t>
      </w:r>
    </w:p>
    <w:p w14:paraId="4BA85744" w14:textId="77777777" w:rsidR="0055162B" w:rsidRDefault="0055162B" w:rsidP="008077FC">
      <w:pPr>
        <w:autoSpaceDE w:val="0"/>
        <w:autoSpaceDN w:val="0"/>
        <w:jc w:val="center"/>
        <w:rPr>
          <w:b/>
          <w:bCs/>
          <w:lang w:val="sr-Cyrl-CS"/>
        </w:rPr>
      </w:pPr>
    </w:p>
    <w:p w14:paraId="1428A159" w14:textId="77777777" w:rsidR="008077FC" w:rsidRPr="00955E08" w:rsidRDefault="008077FC" w:rsidP="008077FC">
      <w:pPr>
        <w:autoSpaceDE w:val="0"/>
        <w:autoSpaceDN w:val="0"/>
        <w:jc w:val="center"/>
      </w:pPr>
      <w:r w:rsidRPr="00955E08">
        <w:rPr>
          <w:b/>
          <w:bCs/>
          <w:lang w:val="sr-Cyrl-CS"/>
        </w:rPr>
        <w:t>П Р А В И Л Н И К</w:t>
      </w:r>
    </w:p>
    <w:p w14:paraId="75C29E68" w14:textId="77777777" w:rsidR="008077FC" w:rsidRPr="00955E08" w:rsidRDefault="008077FC" w:rsidP="008077FC">
      <w:pPr>
        <w:autoSpaceDE w:val="0"/>
        <w:autoSpaceDN w:val="0"/>
      </w:pPr>
      <w:r w:rsidRPr="00955E08">
        <w:rPr>
          <w:lang w:val="sr-Cyrl-CS"/>
        </w:rPr>
        <w:t> </w:t>
      </w:r>
    </w:p>
    <w:p w14:paraId="4643FC22" w14:textId="77777777" w:rsidR="008077FC" w:rsidRPr="00955E08" w:rsidRDefault="00B235D7" w:rsidP="00EB046A">
      <w:pPr>
        <w:autoSpaceDE w:val="0"/>
        <w:autoSpaceDN w:val="0"/>
        <w:jc w:val="center"/>
      </w:pPr>
      <w:r w:rsidRPr="00B235D7">
        <w:rPr>
          <w:rFonts w:eastAsia="Times New Roman"/>
          <w:b/>
        </w:rPr>
        <w:t>о утврђивању Плана расподеле радио-фреквенција у радио-фреквенцијском опсегу</w:t>
      </w:r>
      <w:r w:rsidR="00EB046A" w:rsidRPr="00955E08">
        <w:rPr>
          <w:b/>
          <w:bCs/>
          <w:caps/>
          <w:lang w:val="sr-Cyrl-CS"/>
        </w:rPr>
        <w:t xml:space="preserve"> </w:t>
      </w:r>
      <w:r w:rsidR="00C87C95">
        <w:rPr>
          <w:b/>
          <w:bCs/>
          <w:caps/>
        </w:rPr>
        <w:t>694-790</w:t>
      </w:r>
      <w:r w:rsidR="001929BB">
        <w:rPr>
          <w:b/>
          <w:bCs/>
          <w:caps/>
        </w:rPr>
        <w:t xml:space="preserve"> </w:t>
      </w:r>
      <w:r w:rsidR="00EB046A" w:rsidRPr="00F65629">
        <w:rPr>
          <w:rFonts w:eastAsia="Times New Roman"/>
          <w:b/>
          <w:lang w:val="sr-Latn-CS"/>
        </w:rPr>
        <w:t>MHz</w:t>
      </w:r>
    </w:p>
    <w:p w14:paraId="392C8409" w14:textId="77777777" w:rsidR="008077FC" w:rsidRPr="00955E08" w:rsidRDefault="008077FC" w:rsidP="00A07012">
      <w:pPr>
        <w:autoSpaceDE w:val="0"/>
        <w:autoSpaceDN w:val="0"/>
      </w:pPr>
    </w:p>
    <w:p w14:paraId="7BD22562" w14:textId="77777777" w:rsidR="008077FC" w:rsidRPr="0078209B" w:rsidRDefault="008077FC" w:rsidP="007B61B9">
      <w:pPr>
        <w:pStyle w:val="Heading2"/>
        <w:jc w:val="center"/>
      </w:pPr>
      <w:r w:rsidRPr="0078209B">
        <w:rPr>
          <w:lang w:val="sr-Cyrl-CS"/>
        </w:rPr>
        <w:t>Члан 1.</w:t>
      </w:r>
    </w:p>
    <w:p w14:paraId="47F111D1" w14:textId="77777777" w:rsidR="008077FC" w:rsidRDefault="008077FC" w:rsidP="00D2527B">
      <w:pPr>
        <w:pStyle w:val="Heading2"/>
        <w:rPr>
          <w:b/>
          <w:bCs/>
          <w:lang w:val="sr-Latn-CS"/>
        </w:rPr>
      </w:pPr>
      <w:r w:rsidRPr="00955E08">
        <w:rPr>
          <w:lang w:val="sr-Cyrl-CS"/>
        </w:rPr>
        <w:t xml:space="preserve">Овим правилником утврђује се План расподеле радио-фреквенција за </w:t>
      </w:r>
      <w:r w:rsidR="00EE7673" w:rsidRPr="00594334">
        <w:rPr>
          <w:lang w:val="sr-Cyrl-CS"/>
        </w:rPr>
        <w:t xml:space="preserve">мобилне/фиксне комуникационе </w:t>
      </w:r>
      <w:r w:rsidR="00EE7673" w:rsidRPr="00B235D7">
        <w:rPr>
          <w:lang w:val="sr-Cyrl-CS"/>
        </w:rPr>
        <w:t>мреже (</w:t>
      </w:r>
      <w:r w:rsidR="009C519A">
        <w:rPr>
          <w:i/>
        </w:rPr>
        <w:t>M</w:t>
      </w:r>
      <w:r w:rsidR="00B235D7" w:rsidRPr="00B235D7">
        <w:rPr>
          <w:i/>
        </w:rPr>
        <w:t>obile/</w:t>
      </w:r>
      <w:r w:rsidR="009C519A">
        <w:rPr>
          <w:i/>
        </w:rPr>
        <w:t>F</w:t>
      </w:r>
      <w:r w:rsidR="00B235D7" w:rsidRPr="00B235D7">
        <w:rPr>
          <w:i/>
        </w:rPr>
        <w:t xml:space="preserve">ixed </w:t>
      </w:r>
      <w:r w:rsidR="009C519A">
        <w:rPr>
          <w:i/>
        </w:rPr>
        <w:t>C</w:t>
      </w:r>
      <w:r w:rsidR="00B235D7" w:rsidRPr="00B235D7">
        <w:rPr>
          <w:i/>
        </w:rPr>
        <w:t xml:space="preserve">ommunications </w:t>
      </w:r>
      <w:r w:rsidR="009C519A">
        <w:rPr>
          <w:i/>
        </w:rPr>
        <w:t>N</w:t>
      </w:r>
      <w:r w:rsidR="00B235D7" w:rsidRPr="00B235D7">
        <w:rPr>
          <w:i/>
        </w:rPr>
        <w:t xml:space="preserve">etworks - </w:t>
      </w:r>
      <w:r w:rsidR="00EE7673" w:rsidRPr="00B235D7">
        <w:rPr>
          <w:lang w:val="sr-Latn-CS"/>
        </w:rPr>
        <w:t>MFCN)</w:t>
      </w:r>
      <w:r w:rsidR="00EE7673" w:rsidRPr="00B235D7">
        <w:rPr>
          <w:lang w:val="sr-Cyrl-CS"/>
        </w:rPr>
        <w:t xml:space="preserve"> </w:t>
      </w:r>
      <w:r w:rsidRPr="00B235D7">
        <w:rPr>
          <w:lang w:val="sr-Cyrl-CS"/>
        </w:rPr>
        <w:t>за пружање јавне</w:t>
      </w:r>
      <w:r w:rsidRPr="00955E08">
        <w:rPr>
          <w:lang w:val="sr-Cyrl-CS"/>
        </w:rPr>
        <w:t xml:space="preserve"> електронске кому</w:t>
      </w:r>
      <w:r w:rsidR="00EE7673">
        <w:rPr>
          <w:lang w:val="sr-Cyrl-CS"/>
        </w:rPr>
        <w:t xml:space="preserve">никационе услуге у </w:t>
      </w:r>
      <w:r w:rsidR="0078209B">
        <w:t>радио-</w:t>
      </w:r>
      <w:r w:rsidR="00EE7673">
        <w:rPr>
          <w:lang w:val="sr-Cyrl-CS"/>
        </w:rPr>
        <w:t>фреквенцијск</w:t>
      </w:r>
      <w:r w:rsidR="00EE7673">
        <w:t>o</w:t>
      </w:r>
      <w:r w:rsidR="00EE7673">
        <w:rPr>
          <w:lang w:val="sr-Cyrl-CS"/>
        </w:rPr>
        <w:t>м опсе</w:t>
      </w:r>
      <w:r w:rsidR="00EE7673">
        <w:t>гу</w:t>
      </w:r>
      <w:r w:rsidRPr="00955E08">
        <w:rPr>
          <w:lang w:val="sr-Cyrl-CS"/>
        </w:rPr>
        <w:t xml:space="preserve"> </w:t>
      </w:r>
      <w:r w:rsidR="007D4AB2">
        <w:rPr>
          <w:caps/>
        </w:rPr>
        <w:t>694-790</w:t>
      </w:r>
      <w:r w:rsidR="001929BB">
        <w:rPr>
          <w:caps/>
        </w:rPr>
        <w:t xml:space="preserve"> </w:t>
      </w:r>
      <w:r w:rsidR="00B6096B" w:rsidRPr="00955E08">
        <w:rPr>
          <w:lang w:val="sr-Latn-CS"/>
        </w:rPr>
        <w:t>MH</w:t>
      </w:r>
      <w:bookmarkStart w:id="0" w:name="_Hlk49862490"/>
      <w:r w:rsidR="00B6096B" w:rsidRPr="00955E08">
        <w:rPr>
          <w:lang w:val="sr-Latn-CS"/>
        </w:rPr>
        <w:t>z</w:t>
      </w:r>
      <w:bookmarkEnd w:id="0"/>
      <w:r w:rsidR="00B6096B" w:rsidRPr="00955E08">
        <w:rPr>
          <w:lang w:val="sr-Cyrl-CS"/>
        </w:rPr>
        <w:t xml:space="preserve"> </w:t>
      </w:r>
      <w:r w:rsidRPr="00955E08">
        <w:rPr>
          <w:lang w:val="sr-Cyrl-CS"/>
        </w:rPr>
        <w:t>за територију Републике Србије</w:t>
      </w:r>
      <w:r w:rsidRPr="00955E08">
        <w:rPr>
          <w:lang w:val="sr-Latn-CS"/>
        </w:rPr>
        <w:t>.</w:t>
      </w:r>
    </w:p>
    <w:p w14:paraId="06456A74" w14:textId="77777777" w:rsidR="00B4364B" w:rsidRDefault="00B4364B" w:rsidP="00D2527B">
      <w:pPr>
        <w:pStyle w:val="Heading2"/>
        <w:rPr>
          <w:b/>
          <w:bCs/>
          <w:lang w:val="sr-Cyrl-CS"/>
        </w:rPr>
      </w:pPr>
      <w:r>
        <w:rPr>
          <w:lang w:val="sr-Cyrl-CS"/>
        </w:rPr>
        <w:t xml:space="preserve">План расподеле </w:t>
      </w:r>
      <w:r w:rsidR="00D912C6">
        <w:rPr>
          <w:lang w:val="sr-Cyrl-CS"/>
        </w:rPr>
        <w:t xml:space="preserve">из става 1. овог члана </w:t>
      </w:r>
      <w:r>
        <w:rPr>
          <w:lang w:val="sr-Cyrl-CS"/>
        </w:rPr>
        <w:t xml:space="preserve">је одштампан уз овај </w:t>
      </w:r>
      <w:r w:rsidR="00D912C6">
        <w:rPr>
          <w:lang w:val="sr-Cyrl-CS"/>
        </w:rPr>
        <w:t>п</w:t>
      </w:r>
      <w:r>
        <w:rPr>
          <w:lang w:val="sr-Cyrl-CS"/>
        </w:rPr>
        <w:t>равилник и чини његов саставни део.</w:t>
      </w:r>
    </w:p>
    <w:p w14:paraId="30118A5B" w14:textId="77777777" w:rsidR="008077FC" w:rsidRPr="0078209B" w:rsidRDefault="008077FC" w:rsidP="007B61B9">
      <w:pPr>
        <w:pStyle w:val="Heading2"/>
        <w:jc w:val="center"/>
        <w:rPr>
          <w:lang w:val="sr-Cyrl-CS"/>
        </w:rPr>
      </w:pPr>
      <w:r w:rsidRPr="0078209B">
        <w:rPr>
          <w:lang w:val="sr-Cyrl-CS"/>
        </w:rPr>
        <w:t>Члан 2.</w:t>
      </w:r>
    </w:p>
    <w:p w14:paraId="2BF590F6" w14:textId="77777777" w:rsidR="008077FC" w:rsidRDefault="0012346B" w:rsidP="00D2527B">
      <w:pPr>
        <w:pStyle w:val="Heading2"/>
        <w:rPr>
          <w:b/>
          <w:bCs/>
          <w:lang w:val="sr-Cyrl-CS"/>
        </w:rPr>
      </w:pPr>
      <w:r w:rsidRPr="002272D9">
        <w:rPr>
          <w:lang w:val="sr-Cyrl-CS"/>
        </w:rPr>
        <w:tab/>
      </w:r>
      <w:r w:rsidR="008077FC" w:rsidRPr="00955E08">
        <w:rPr>
          <w:lang w:val="sr-Cyrl-CS"/>
        </w:rPr>
        <w:t xml:space="preserve">Услови за расподелу радио-фреквенција и други технички услови за коришћење радио-фреквенција у </w:t>
      </w:r>
      <w:r w:rsidR="006D51CD">
        <w:rPr>
          <w:lang w:val="sr-Cyrl-CS"/>
        </w:rPr>
        <w:t xml:space="preserve">деловима </w:t>
      </w:r>
      <w:r w:rsidR="0078209B">
        <w:rPr>
          <w:lang w:val="sr-Cyrl-CS"/>
        </w:rPr>
        <w:t>радио-</w:t>
      </w:r>
      <w:r w:rsidR="00EE7673">
        <w:rPr>
          <w:lang w:val="sr-Cyrl-CS"/>
        </w:rPr>
        <w:t>фреквенцијск</w:t>
      </w:r>
      <w:r w:rsidR="00EE7673">
        <w:t>o</w:t>
      </w:r>
      <w:r w:rsidR="006D51CD">
        <w:rPr>
          <w:lang w:val="sr-Cyrl-CS"/>
        </w:rPr>
        <w:t>г</w:t>
      </w:r>
      <w:r w:rsidR="00EE7673">
        <w:rPr>
          <w:lang w:val="sr-Cyrl-CS"/>
        </w:rPr>
        <w:t xml:space="preserve"> опсе</w:t>
      </w:r>
      <w:r w:rsidR="00EE7673">
        <w:t>г</w:t>
      </w:r>
      <w:r w:rsidR="006D51CD">
        <w:t>а</w:t>
      </w:r>
      <w:r w:rsidR="00EE7673" w:rsidRPr="00955E08">
        <w:rPr>
          <w:lang w:val="sr-Cyrl-CS"/>
        </w:rPr>
        <w:t xml:space="preserve"> </w:t>
      </w:r>
      <w:r w:rsidR="007D4AB2">
        <w:rPr>
          <w:caps/>
        </w:rPr>
        <w:t>694-790</w:t>
      </w:r>
      <w:r w:rsidR="00EE7673">
        <w:rPr>
          <w:caps/>
        </w:rPr>
        <w:t xml:space="preserve"> </w:t>
      </w:r>
      <w:r w:rsidR="00EE7673" w:rsidRPr="00955E08">
        <w:rPr>
          <w:lang w:val="sr-Latn-CS"/>
        </w:rPr>
        <w:t>MHz</w:t>
      </w:r>
      <w:r w:rsidR="006D51CD">
        <w:t xml:space="preserve"> који се користе за </w:t>
      </w:r>
      <w:r w:rsidR="006D51CD" w:rsidRPr="00CA4939">
        <w:t>мобилне/фиксне комуникационе мреже (MFCN)</w:t>
      </w:r>
      <w:r w:rsidR="008077FC" w:rsidRPr="00955E08">
        <w:rPr>
          <w:lang w:val="sr-Cyrl-CS"/>
        </w:rPr>
        <w:t xml:space="preserve">, утврђени су у </w:t>
      </w:r>
      <w:r w:rsidR="002F25E1">
        <w:rPr>
          <w:lang w:val="sr-Cyrl-CS"/>
        </w:rPr>
        <w:t>П</w:t>
      </w:r>
      <w:r w:rsidR="008077FC" w:rsidRPr="00955E08">
        <w:rPr>
          <w:lang w:val="sr-Cyrl-CS"/>
        </w:rPr>
        <w:t xml:space="preserve">лану </w:t>
      </w:r>
      <w:r w:rsidR="00D912C6">
        <w:rPr>
          <w:lang w:val="sr-Cyrl-CS"/>
        </w:rPr>
        <w:t xml:space="preserve">расподеле </w:t>
      </w:r>
      <w:r w:rsidR="008077FC" w:rsidRPr="00955E08">
        <w:rPr>
          <w:lang w:val="sr-Cyrl-CS"/>
        </w:rPr>
        <w:t>из члана 1. овог правилника.</w:t>
      </w:r>
    </w:p>
    <w:p w14:paraId="06C70749" w14:textId="77777777" w:rsidR="008077FC" w:rsidRPr="0078209B" w:rsidRDefault="00EE7673" w:rsidP="007B61B9">
      <w:pPr>
        <w:pStyle w:val="Heading2"/>
        <w:jc w:val="center"/>
        <w:rPr>
          <w:lang w:val="sr-Cyrl-CS"/>
        </w:rPr>
      </w:pPr>
      <w:r w:rsidRPr="0078209B">
        <w:rPr>
          <w:lang w:val="sr-Cyrl-CS"/>
        </w:rPr>
        <w:t xml:space="preserve">Члан </w:t>
      </w:r>
      <w:r w:rsidR="007D4AB2" w:rsidRPr="0078209B">
        <w:t>3</w:t>
      </w:r>
      <w:r w:rsidR="008077FC" w:rsidRPr="0078209B">
        <w:rPr>
          <w:lang w:val="sr-Cyrl-CS"/>
        </w:rPr>
        <w:t>.</w:t>
      </w:r>
    </w:p>
    <w:p w14:paraId="1C6F2DCD" w14:textId="77777777" w:rsidR="00B6096B" w:rsidRDefault="00B6096B" w:rsidP="00D2527B">
      <w:pPr>
        <w:pStyle w:val="Heading2"/>
        <w:rPr>
          <w:b/>
          <w:bCs/>
        </w:rPr>
      </w:pPr>
      <w:r w:rsidRPr="00955E08">
        <w:rPr>
          <w:lang w:val="sr-Cyrl-CS"/>
        </w:rPr>
        <w:t xml:space="preserve">Овај правилник ступа на снагу осмог дана од дана објављивања у „Службеном гласнику Републике Србије“. </w:t>
      </w:r>
    </w:p>
    <w:p w14:paraId="703CC060" w14:textId="77777777" w:rsidR="0073698A" w:rsidRPr="0073698A" w:rsidRDefault="0073698A" w:rsidP="00D2527B">
      <w:pPr>
        <w:pStyle w:val="Heading2"/>
      </w:pPr>
    </w:p>
    <w:p w14:paraId="65AD17D6" w14:textId="77777777" w:rsidR="001A71A0" w:rsidRDefault="001A71A0" w:rsidP="00D2527B">
      <w:pPr>
        <w:pStyle w:val="Heading2"/>
        <w:rPr>
          <w:lang w:val="sr-Cyrl-CS"/>
        </w:rPr>
      </w:pPr>
    </w:p>
    <w:p w14:paraId="3C785B69" w14:textId="77777777" w:rsidR="0039720F" w:rsidRPr="0039720F" w:rsidRDefault="0039720F" w:rsidP="0039720F">
      <w:pPr>
        <w:spacing w:before="100" w:beforeAutospacing="1" w:after="100" w:afterAutospacing="1"/>
        <w:ind w:firstLine="432"/>
        <w:jc w:val="both"/>
        <w:outlineLvl w:val="1"/>
        <w:rPr>
          <w:rFonts w:eastAsia="Times New Roman"/>
          <w:b/>
          <w:lang w:val="sr-Cyrl-CS"/>
        </w:rPr>
      </w:pPr>
      <w:r w:rsidRPr="0039720F">
        <w:rPr>
          <w:rFonts w:eastAsia="Times New Roman"/>
          <w:lang w:val="sr-Cyrl-CS"/>
        </w:rPr>
        <w:t>Број:</w:t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b/>
          <w:lang w:val="sr-Cyrl-CS"/>
        </w:rPr>
        <w:t>МИНИСТАР</w:t>
      </w:r>
    </w:p>
    <w:p w14:paraId="7057AFD8" w14:textId="77777777" w:rsidR="0039720F" w:rsidRPr="0039720F" w:rsidRDefault="0039720F" w:rsidP="0039720F">
      <w:pPr>
        <w:spacing w:before="100" w:beforeAutospacing="1" w:after="100" w:afterAutospacing="1"/>
        <w:ind w:firstLine="432"/>
        <w:jc w:val="both"/>
        <w:outlineLvl w:val="1"/>
        <w:rPr>
          <w:rFonts w:eastAsia="Times New Roman"/>
          <w:b/>
          <w:bCs/>
          <w:sz w:val="20"/>
          <w:szCs w:val="20"/>
          <w:lang w:val="sr-Cyrl-CS"/>
        </w:rPr>
      </w:pPr>
      <w:r w:rsidRPr="0039720F">
        <w:rPr>
          <w:rFonts w:eastAsia="Times New Roman"/>
          <w:lang w:val="sr-Cyrl-CS"/>
        </w:rPr>
        <w:t>У Београду, ________2020. године</w:t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</w:r>
      <w:r w:rsidRPr="0039720F">
        <w:rPr>
          <w:rFonts w:eastAsia="Times New Roman"/>
          <w:lang w:val="sr-Cyrl-CS"/>
        </w:rPr>
        <w:tab/>
        <w:t xml:space="preserve">            </w:t>
      </w:r>
      <w:r w:rsidR="00C670B5">
        <w:rPr>
          <w:rFonts w:eastAsia="Times New Roman"/>
          <w:lang w:val="sr-Cyrl-CS"/>
        </w:rPr>
        <w:t xml:space="preserve">            </w:t>
      </w:r>
      <w:r w:rsidRPr="0039720F">
        <w:rPr>
          <w:rFonts w:eastAsia="Times New Roman"/>
          <w:b/>
          <w:i/>
          <w:lang w:val="sr-Cyrl-CS"/>
        </w:rPr>
        <w:t>Расим Љајић</w:t>
      </w:r>
    </w:p>
    <w:p w14:paraId="6F01F677" w14:textId="77777777" w:rsidR="001A71A0" w:rsidRPr="002272D9" w:rsidRDefault="001A71A0" w:rsidP="00D2527B">
      <w:pPr>
        <w:pStyle w:val="Heading2"/>
        <w:rPr>
          <w:lang w:val="sr-Cyrl-CS"/>
        </w:rPr>
      </w:pPr>
    </w:p>
    <w:p w14:paraId="39591CF4" w14:textId="77777777" w:rsidR="00E50182" w:rsidRDefault="00B369B2" w:rsidP="00362364">
      <w:pPr>
        <w:pStyle w:val="Heading2"/>
        <w:ind w:firstLine="0"/>
        <w:jc w:val="center"/>
        <w:rPr>
          <w:b/>
          <w:caps/>
          <w:sz w:val="28"/>
          <w:szCs w:val="28"/>
        </w:rPr>
      </w:pPr>
      <w:r w:rsidRPr="00362364">
        <w:rPr>
          <w:b/>
          <w:sz w:val="28"/>
          <w:szCs w:val="28"/>
        </w:rPr>
        <w:lastRenderedPageBreak/>
        <w:t xml:space="preserve">План расподеле радио-фреквенција у радио-фреквенцијском опсегу </w:t>
      </w:r>
      <w:r w:rsidR="007D4AB2" w:rsidRPr="00362364">
        <w:rPr>
          <w:b/>
          <w:caps/>
          <w:sz w:val="28"/>
          <w:szCs w:val="28"/>
          <w:lang w:val="sr-Cyrl-CS"/>
        </w:rPr>
        <w:t xml:space="preserve"> </w:t>
      </w:r>
    </w:p>
    <w:p w14:paraId="2AB8A1DF" w14:textId="77777777" w:rsidR="00B4364B" w:rsidRPr="00362364" w:rsidRDefault="007D4AB2" w:rsidP="00362364">
      <w:pPr>
        <w:pStyle w:val="Heading2"/>
        <w:ind w:firstLine="0"/>
        <w:jc w:val="center"/>
        <w:rPr>
          <w:b/>
          <w:bCs/>
          <w:sz w:val="28"/>
          <w:szCs w:val="28"/>
          <w:u w:val="single"/>
          <w:lang w:val="sr-Cyrl-CS"/>
        </w:rPr>
      </w:pPr>
      <w:r w:rsidRPr="00362364">
        <w:rPr>
          <w:b/>
          <w:caps/>
          <w:sz w:val="28"/>
          <w:szCs w:val="28"/>
        </w:rPr>
        <w:t>694-790</w:t>
      </w:r>
      <w:r w:rsidR="0073698A" w:rsidRPr="00362364">
        <w:rPr>
          <w:b/>
          <w:caps/>
          <w:sz w:val="28"/>
          <w:szCs w:val="28"/>
        </w:rPr>
        <w:t xml:space="preserve"> </w:t>
      </w:r>
      <w:r w:rsidR="0073698A" w:rsidRPr="00362364">
        <w:rPr>
          <w:b/>
          <w:caps/>
          <w:sz w:val="28"/>
          <w:szCs w:val="28"/>
          <w:lang w:val="sr-Latn-CS"/>
        </w:rPr>
        <w:t>MH</w:t>
      </w:r>
      <w:r w:rsidR="005B524B" w:rsidRPr="00362364">
        <w:rPr>
          <w:b/>
          <w:sz w:val="28"/>
          <w:szCs w:val="28"/>
          <w:lang w:val="sr-Latn-CS"/>
        </w:rPr>
        <w:t>z</w:t>
      </w:r>
    </w:p>
    <w:p w14:paraId="0826AAB4" w14:textId="77777777" w:rsidR="001929BB" w:rsidRPr="00362364" w:rsidRDefault="00D912C6" w:rsidP="00C670B5">
      <w:pPr>
        <w:pStyle w:val="Heading2"/>
        <w:jc w:val="center"/>
        <w:rPr>
          <w:b/>
          <w:lang w:val="sr-Cyrl-CS"/>
        </w:rPr>
      </w:pPr>
      <w:r w:rsidRPr="00362364">
        <w:rPr>
          <w:b/>
          <w:lang w:val="sr-Cyrl-CS"/>
        </w:rPr>
        <w:t>У</w:t>
      </w:r>
      <w:r w:rsidR="00B369B2" w:rsidRPr="00362364">
        <w:rPr>
          <w:b/>
          <w:lang w:val="sr-Cyrl-CS"/>
        </w:rPr>
        <w:t>вод</w:t>
      </w:r>
    </w:p>
    <w:p w14:paraId="4E6F61D4" w14:textId="77777777" w:rsidR="003A53DF" w:rsidRDefault="003A53DF" w:rsidP="000451E5">
      <w:pPr>
        <w:pStyle w:val="Heading2"/>
        <w:rPr>
          <w:b/>
          <w:bCs/>
          <w:lang w:val="sr-Cyrl-CS"/>
        </w:rPr>
      </w:pPr>
      <w:r w:rsidRPr="002272D9">
        <w:rPr>
          <w:lang w:val="sr-Cyrl-CS"/>
        </w:rPr>
        <w:t xml:space="preserve">План расподеле </w:t>
      </w:r>
      <w:r w:rsidRPr="00955E08">
        <w:rPr>
          <w:lang w:val="sr-Cyrl-CS"/>
        </w:rPr>
        <w:t xml:space="preserve">радио-фреквенција за </w:t>
      </w:r>
      <w:r w:rsidR="007E5496">
        <w:rPr>
          <w:lang w:val="sr-Cyrl-CS"/>
        </w:rPr>
        <w:t xml:space="preserve">рад у </w:t>
      </w:r>
      <w:r w:rsidR="0078209B">
        <w:rPr>
          <w:lang w:val="sr-Cyrl-CS"/>
        </w:rPr>
        <w:t>радио-</w:t>
      </w:r>
      <w:r w:rsidR="002B03DF">
        <w:rPr>
          <w:lang w:val="sr-Cyrl-CS"/>
        </w:rPr>
        <w:t>фреквенцијск</w:t>
      </w:r>
      <w:r w:rsidR="002B03DF">
        <w:t>o</w:t>
      </w:r>
      <w:r w:rsidR="002B03DF">
        <w:rPr>
          <w:lang w:val="sr-Cyrl-CS"/>
        </w:rPr>
        <w:t>м опсе</w:t>
      </w:r>
      <w:r w:rsidR="002B03DF">
        <w:t>гу</w:t>
      </w:r>
      <w:r w:rsidR="002B03DF" w:rsidRPr="00955E08">
        <w:rPr>
          <w:lang w:val="sr-Cyrl-CS"/>
        </w:rPr>
        <w:t xml:space="preserve"> </w:t>
      </w:r>
      <w:r w:rsidR="007D4AB2">
        <w:rPr>
          <w:caps/>
        </w:rPr>
        <w:t>694-790</w:t>
      </w:r>
      <w:r w:rsidR="002B03DF">
        <w:rPr>
          <w:caps/>
        </w:rPr>
        <w:t xml:space="preserve"> M</w:t>
      </w:r>
      <w:r w:rsidR="002B03DF" w:rsidRPr="00955E08">
        <w:rPr>
          <w:lang w:val="sr-Latn-CS"/>
        </w:rPr>
        <w:t>Hz</w:t>
      </w:r>
      <w:r w:rsidR="002B03DF" w:rsidRPr="00955E08">
        <w:rPr>
          <w:lang w:val="sr-Cyrl-CS"/>
        </w:rPr>
        <w:t xml:space="preserve"> </w:t>
      </w:r>
      <w:r w:rsidRPr="00955E08">
        <w:rPr>
          <w:lang w:val="sr-Cyrl-CS"/>
        </w:rPr>
        <w:t>(у даљем тексту: План расподеле)</w:t>
      </w:r>
      <w:r w:rsidRPr="002272D9">
        <w:rPr>
          <w:lang w:val="sr-Cyrl-CS"/>
        </w:rPr>
        <w:t xml:space="preserve"> утврђује се на основу </w:t>
      </w:r>
      <w:r w:rsidR="00B369B2" w:rsidRPr="00B369B2">
        <w:t xml:space="preserve">Уредбе о утврђивању </w:t>
      </w:r>
      <w:r w:rsidR="00B369B2" w:rsidRPr="00B369B2">
        <w:rPr>
          <w:lang w:val="sr-Cyrl-CS"/>
        </w:rPr>
        <w:t xml:space="preserve">Плана намене радио-фреквенцијских опсега („Службени гласник РС“, број </w:t>
      </w:r>
      <w:r w:rsidR="00B369B2" w:rsidRPr="00B369B2">
        <w:t>8</w:t>
      </w:r>
      <w:r w:rsidR="00B369B2" w:rsidRPr="00B369B2">
        <w:rPr>
          <w:lang w:val="sr-Cyrl-CS"/>
        </w:rPr>
        <w:t>9/</w:t>
      </w:r>
      <w:r w:rsidR="00B369B2" w:rsidRPr="00B369B2">
        <w:t>20</w:t>
      </w:r>
      <w:r w:rsidR="00B369B2" w:rsidRPr="00B369B2">
        <w:rPr>
          <w:lang w:val="sr-Cyrl-CS"/>
        </w:rPr>
        <w:t>)</w:t>
      </w:r>
      <w:r w:rsidRPr="002272D9">
        <w:rPr>
          <w:lang w:val="sr-Cyrl-CS"/>
        </w:rPr>
        <w:t xml:space="preserve"> и других релевантних националних аката и одговарајућих међународних споразума и препорука</w:t>
      </w:r>
      <w:r w:rsidR="00D912C6">
        <w:rPr>
          <w:lang w:val="sr-Cyrl-CS"/>
        </w:rPr>
        <w:t>, а</w:t>
      </w:r>
      <w:r w:rsidRPr="002272D9">
        <w:rPr>
          <w:lang w:val="sr-Cyrl-CS"/>
        </w:rPr>
        <w:t xml:space="preserve"> имајући у виду потребе и захтеве корисника.</w:t>
      </w:r>
    </w:p>
    <w:p w14:paraId="2208E2D3" w14:textId="77777777" w:rsidR="003A53DF" w:rsidRDefault="003A53DF" w:rsidP="00D2527B">
      <w:pPr>
        <w:pStyle w:val="Heading2"/>
        <w:rPr>
          <w:b/>
          <w:bCs/>
          <w:lang w:val="sr-Cyrl-CS"/>
        </w:rPr>
      </w:pPr>
      <w:r w:rsidRPr="00955E08">
        <w:rPr>
          <w:lang w:val="sr-Cyrl-CS"/>
        </w:rPr>
        <w:t>Основ за доношење и услови за израду План</w:t>
      </w:r>
      <w:r w:rsidRPr="00955E08">
        <w:t>a</w:t>
      </w:r>
      <w:r w:rsidRPr="00955E08">
        <w:rPr>
          <w:lang w:val="sr-Cyrl-CS"/>
        </w:rPr>
        <w:t xml:space="preserve"> расподеле садржан</w:t>
      </w:r>
      <w:r w:rsidR="00961E98">
        <w:rPr>
          <w:lang w:val="sr-Cyrl-CS"/>
        </w:rPr>
        <w:t>и су</w:t>
      </w:r>
      <w:r w:rsidRPr="00955E08">
        <w:rPr>
          <w:lang w:val="sr-Cyrl-CS"/>
        </w:rPr>
        <w:t xml:space="preserve"> у следећим документима:</w:t>
      </w:r>
    </w:p>
    <w:p w14:paraId="49F28634" w14:textId="77777777" w:rsidR="005C2181" w:rsidRDefault="005C2181" w:rsidP="00D2527B">
      <w:pPr>
        <w:pStyle w:val="Heading2"/>
        <w:rPr>
          <w:b/>
          <w:bCs/>
          <w:lang w:val="sr-Cyrl-CS"/>
        </w:rPr>
      </w:pPr>
      <w:r>
        <w:rPr>
          <w:lang w:val="sr-Cyrl-CS"/>
        </w:rPr>
        <w:t>А) Национална регулатива</w:t>
      </w:r>
    </w:p>
    <w:p w14:paraId="781352A7" w14:textId="77777777" w:rsidR="003A53DF" w:rsidRPr="002C333A" w:rsidRDefault="003A53DF" w:rsidP="005318B3">
      <w:pPr>
        <w:numPr>
          <w:ilvl w:val="0"/>
          <w:numId w:val="5"/>
        </w:numPr>
        <w:spacing w:before="100" w:beforeAutospacing="1" w:after="100" w:afterAutospacing="1"/>
        <w:jc w:val="both"/>
        <w:outlineLvl w:val="1"/>
        <w:rPr>
          <w:lang w:val="sr-Cyrl-CS"/>
        </w:rPr>
      </w:pPr>
      <w:r w:rsidRPr="002C333A">
        <w:rPr>
          <w:lang w:val="sr-Cyrl-CS"/>
        </w:rPr>
        <w:t xml:space="preserve">Закон о електронским комуникацијама </w:t>
      </w:r>
      <w:r w:rsidR="00B6096B" w:rsidRPr="002C333A">
        <w:rPr>
          <w:lang w:val="sr-Cyrl-CS"/>
        </w:rPr>
        <w:t>(„Службени гласник РС“, бр. 44/10</w:t>
      </w:r>
      <w:r w:rsidR="00D912C6">
        <w:rPr>
          <w:lang w:val="sr-Cyrl-CS"/>
        </w:rPr>
        <w:t>,</w:t>
      </w:r>
      <w:r w:rsidR="00B6096B" w:rsidRPr="002C333A">
        <w:rPr>
          <w:lang w:val="sr-Cyrl-CS"/>
        </w:rPr>
        <w:t xml:space="preserve"> 60/13-УС</w:t>
      </w:r>
      <w:r w:rsidR="0078209B">
        <w:rPr>
          <w:lang w:val="sr-Cyrl-CS"/>
        </w:rPr>
        <w:t>,</w:t>
      </w:r>
      <w:r w:rsidR="00D912C6">
        <w:rPr>
          <w:lang w:val="sr-Cyrl-CS"/>
        </w:rPr>
        <w:t xml:space="preserve"> 62/14</w:t>
      </w:r>
      <w:r w:rsidR="002B03DF" w:rsidRPr="002B03DF">
        <w:rPr>
          <w:rFonts w:eastAsia="Times New Roman"/>
        </w:rPr>
        <w:t xml:space="preserve"> и 95/18-</w:t>
      </w:r>
      <w:r w:rsidR="0083087D">
        <w:rPr>
          <w:rFonts w:eastAsia="Times New Roman"/>
        </w:rPr>
        <w:t xml:space="preserve"> </w:t>
      </w:r>
      <w:r w:rsidR="002B03DF" w:rsidRPr="002B03DF">
        <w:rPr>
          <w:rFonts w:eastAsia="Times New Roman"/>
        </w:rPr>
        <w:t xml:space="preserve">др. </w:t>
      </w:r>
      <w:r w:rsidR="0083087D">
        <w:rPr>
          <w:rFonts w:eastAsia="Times New Roman"/>
        </w:rPr>
        <w:t>з</w:t>
      </w:r>
      <w:r w:rsidR="002B03DF" w:rsidRPr="002B03DF">
        <w:rPr>
          <w:rFonts w:eastAsia="Times New Roman"/>
        </w:rPr>
        <w:t>акон</w:t>
      </w:r>
      <w:r w:rsidR="001C34B3">
        <w:rPr>
          <w:rFonts w:eastAsia="Times New Roman"/>
        </w:rPr>
        <w:t>, у даљем тексту: Закон</w:t>
      </w:r>
      <w:r w:rsidR="00B6096B" w:rsidRPr="002C333A">
        <w:rPr>
          <w:lang w:val="sr-Cyrl-CS"/>
        </w:rPr>
        <w:t>)</w:t>
      </w:r>
      <w:r w:rsidRPr="002C333A">
        <w:rPr>
          <w:lang w:val="sr-Cyrl-CS"/>
        </w:rPr>
        <w:t>;</w:t>
      </w:r>
    </w:p>
    <w:p w14:paraId="1856C1BD" w14:textId="77777777" w:rsidR="00A33DA2" w:rsidRPr="00B369B2" w:rsidRDefault="00AC7BCC" w:rsidP="00A33DA2">
      <w:pPr>
        <w:numPr>
          <w:ilvl w:val="0"/>
          <w:numId w:val="5"/>
        </w:numPr>
        <w:spacing w:before="100" w:beforeAutospacing="1" w:after="100" w:afterAutospacing="1"/>
        <w:jc w:val="both"/>
        <w:outlineLvl w:val="1"/>
        <w:rPr>
          <w:lang w:val="sr-Cyrl-CS"/>
        </w:rPr>
      </w:pPr>
      <w:r w:rsidRPr="00B369B2">
        <w:rPr>
          <w:lang w:val="sr-Cyrl-CS"/>
        </w:rPr>
        <w:t xml:space="preserve">Уредба о утврђивању </w:t>
      </w:r>
      <w:r w:rsidR="003A53DF" w:rsidRPr="00B369B2">
        <w:rPr>
          <w:lang w:val="sr-Cyrl-CS"/>
        </w:rPr>
        <w:t>План</w:t>
      </w:r>
      <w:r w:rsidRPr="00B369B2">
        <w:rPr>
          <w:lang w:val="sr-Cyrl-CS"/>
        </w:rPr>
        <w:t>а</w:t>
      </w:r>
      <w:r w:rsidR="003A53DF" w:rsidRPr="00B369B2">
        <w:rPr>
          <w:lang w:val="sr-Cyrl-CS"/>
        </w:rPr>
        <w:t xml:space="preserve"> намене радио-фреквенцијских опсега (</w:t>
      </w:r>
      <w:r w:rsidRPr="00B369B2">
        <w:rPr>
          <w:lang w:val="sr-Cyrl-CS"/>
        </w:rPr>
        <w:t>„</w:t>
      </w:r>
      <w:r w:rsidR="003A53DF" w:rsidRPr="00B369B2">
        <w:rPr>
          <w:lang w:val="sr-Cyrl-CS"/>
        </w:rPr>
        <w:t xml:space="preserve">Службени гласник РС”, број  </w:t>
      </w:r>
      <w:r w:rsidR="00B369B2" w:rsidRPr="00B369B2">
        <w:rPr>
          <w:rFonts w:eastAsia="Times New Roman"/>
        </w:rPr>
        <w:t>8</w:t>
      </w:r>
      <w:r w:rsidR="00B369B2" w:rsidRPr="00B369B2">
        <w:rPr>
          <w:rFonts w:eastAsia="Times New Roman"/>
          <w:lang w:val="sr-Cyrl-CS"/>
        </w:rPr>
        <w:t>9/</w:t>
      </w:r>
      <w:r w:rsidR="00B369B2" w:rsidRPr="00B369B2">
        <w:rPr>
          <w:rFonts w:eastAsia="Times New Roman"/>
        </w:rPr>
        <w:t>20</w:t>
      </w:r>
      <w:r w:rsidR="00C670B5">
        <w:rPr>
          <w:rFonts w:eastAsia="Times New Roman"/>
        </w:rPr>
        <w:t>, у даљем тексту: План намене</w:t>
      </w:r>
      <w:r w:rsidR="00812BD2" w:rsidRPr="00B369B2">
        <w:rPr>
          <w:lang w:val="sr-Cyrl-CS"/>
        </w:rPr>
        <w:t>).</w:t>
      </w:r>
    </w:p>
    <w:p w14:paraId="535326E2" w14:textId="77777777" w:rsidR="001929BB" w:rsidRPr="001929BB" w:rsidRDefault="001929BB" w:rsidP="001929BB">
      <w:pPr>
        <w:jc w:val="both"/>
        <w:rPr>
          <w:rFonts w:eastAsia="Times New Roman"/>
          <w:highlight w:val="yellow"/>
        </w:rPr>
      </w:pPr>
    </w:p>
    <w:p w14:paraId="380780EC" w14:textId="77777777" w:rsidR="001929BB" w:rsidRPr="008A2314" w:rsidRDefault="005C2181" w:rsidP="008A2314">
      <w:pPr>
        <w:autoSpaceDE w:val="0"/>
        <w:autoSpaceDN w:val="0"/>
        <w:adjustRightInd w:val="0"/>
        <w:ind w:firstLine="426"/>
      </w:pPr>
      <w:r w:rsidRPr="005C2181">
        <w:rPr>
          <w:lang w:val="sr-Cyrl-CS"/>
        </w:rPr>
        <w:t>Б) Међународна регулатива</w:t>
      </w:r>
    </w:p>
    <w:p w14:paraId="12E9A8E4" w14:textId="77777777" w:rsidR="002B03DF" w:rsidRDefault="002B03DF" w:rsidP="00252645">
      <w:pPr>
        <w:numPr>
          <w:ilvl w:val="0"/>
          <w:numId w:val="8"/>
        </w:numPr>
        <w:spacing w:before="100" w:beforeAutospacing="1" w:after="100" w:afterAutospacing="1"/>
        <w:jc w:val="both"/>
        <w:outlineLvl w:val="1"/>
        <w:rPr>
          <w:rFonts w:eastAsia="Times New Roman"/>
          <w:i/>
          <w:lang w:val="sr-Cyrl-CS"/>
        </w:rPr>
      </w:pPr>
      <w:r w:rsidRPr="00925B42">
        <w:rPr>
          <w:rFonts w:eastAsia="Times New Roman"/>
        </w:rPr>
        <w:t>ECC/DEC/(1</w:t>
      </w:r>
      <w:r w:rsidR="00B50D0D">
        <w:rPr>
          <w:rFonts w:eastAsia="Times New Roman"/>
        </w:rPr>
        <w:t>5)01</w:t>
      </w:r>
      <w:r w:rsidR="00802D1B">
        <w:rPr>
          <w:rFonts w:eastAsia="Times New Roman"/>
        </w:rPr>
        <w:t>:</w:t>
      </w:r>
      <w:r w:rsidRPr="00925B42">
        <w:rPr>
          <w:rFonts w:eastAsia="Times New Roman"/>
        </w:rPr>
        <w:t xml:space="preserve"> </w:t>
      </w:r>
      <w:r w:rsidR="00B50D0D" w:rsidRPr="00B50D0D">
        <w:rPr>
          <w:rFonts w:eastAsia="Times New Roman"/>
          <w:i/>
          <w:lang w:val="en-GB"/>
        </w:rPr>
        <w:t xml:space="preserve">Harmonised technical conditions for </w:t>
      </w:r>
      <w:r w:rsidR="00802D1B">
        <w:rPr>
          <w:rFonts w:eastAsia="Times New Roman"/>
          <w:i/>
        </w:rPr>
        <w:t>M</w:t>
      </w:r>
      <w:r w:rsidR="00B50D0D" w:rsidRPr="00B50D0D">
        <w:rPr>
          <w:rFonts w:eastAsia="Times New Roman"/>
          <w:i/>
          <w:lang w:val="en-GB"/>
        </w:rPr>
        <w:t>obil</w:t>
      </w:r>
      <w:r w:rsidR="00B50D0D">
        <w:rPr>
          <w:rFonts w:eastAsia="Times New Roman"/>
          <w:i/>
          <w:lang w:val="en-GB"/>
        </w:rPr>
        <w:t>e/</w:t>
      </w:r>
      <w:r w:rsidR="00802D1B">
        <w:rPr>
          <w:rFonts w:eastAsia="Times New Roman"/>
          <w:i/>
          <w:lang w:val="en-GB"/>
        </w:rPr>
        <w:t>F</w:t>
      </w:r>
      <w:r w:rsidR="00B50D0D">
        <w:rPr>
          <w:rFonts w:eastAsia="Times New Roman"/>
          <w:i/>
          <w:lang w:val="en-GB"/>
        </w:rPr>
        <w:t xml:space="preserve">ixed </w:t>
      </w:r>
      <w:r w:rsidR="00802D1B">
        <w:rPr>
          <w:rFonts w:eastAsia="Times New Roman"/>
          <w:i/>
          <w:lang w:val="en-GB"/>
        </w:rPr>
        <w:t>C</w:t>
      </w:r>
      <w:r w:rsidR="00B50D0D">
        <w:rPr>
          <w:rFonts w:eastAsia="Times New Roman"/>
          <w:i/>
          <w:lang w:val="en-GB"/>
        </w:rPr>
        <w:t xml:space="preserve">ommunications </w:t>
      </w:r>
      <w:r w:rsidR="00802D1B">
        <w:rPr>
          <w:rFonts w:eastAsia="Times New Roman"/>
          <w:i/>
          <w:lang w:val="en-GB"/>
        </w:rPr>
        <w:t>N</w:t>
      </w:r>
      <w:r w:rsidR="00B50D0D">
        <w:rPr>
          <w:rFonts w:eastAsia="Times New Roman"/>
          <w:i/>
          <w:lang w:val="en-GB"/>
        </w:rPr>
        <w:t xml:space="preserve">etworks (MFCN) in </w:t>
      </w:r>
      <w:r w:rsidR="00B50D0D" w:rsidRPr="00B50D0D">
        <w:rPr>
          <w:rFonts w:eastAsia="Times New Roman"/>
          <w:i/>
          <w:lang w:val="en-GB"/>
        </w:rPr>
        <w:t>the band 694-790 MHz including a paired frequency arrangement (Frequency Division Duplex 2x30 MHz) and an optional unpaired frequency arrangement (Supplemental Downlink)</w:t>
      </w:r>
      <w:r>
        <w:rPr>
          <w:rFonts w:eastAsia="Times New Roman"/>
          <w:i/>
          <w:lang w:val="sr-Cyrl-CS"/>
        </w:rPr>
        <w:t>;</w:t>
      </w:r>
    </w:p>
    <w:p w14:paraId="2900ED6C" w14:textId="77777777" w:rsidR="00812BD2" w:rsidRPr="00812BD2" w:rsidRDefault="00812BD2" w:rsidP="00812BD2">
      <w:pPr>
        <w:numPr>
          <w:ilvl w:val="0"/>
          <w:numId w:val="8"/>
        </w:numPr>
        <w:spacing w:before="100" w:beforeAutospacing="1" w:after="100" w:afterAutospacing="1"/>
        <w:jc w:val="both"/>
        <w:outlineLvl w:val="1"/>
        <w:rPr>
          <w:i/>
          <w:lang w:val="sr-Cyrl-CS"/>
        </w:rPr>
      </w:pPr>
      <w:r w:rsidRPr="00071DE2">
        <w:t>ETSI EN 301 908 IMT</w:t>
      </w:r>
      <w:r w:rsidRPr="00071DE2">
        <w:rPr>
          <w:i/>
        </w:rPr>
        <w:t xml:space="preserve"> cellular networks</w:t>
      </w:r>
      <w:r>
        <w:rPr>
          <w:i/>
        </w:rPr>
        <w:t>;</w:t>
      </w:r>
    </w:p>
    <w:p w14:paraId="23A123B9" w14:textId="77777777" w:rsidR="0041647B" w:rsidRPr="0041647B" w:rsidRDefault="0041647B" w:rsidP="0041647B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outlineLvl w:val="1"/>
        <w:rPr>
          <w:rFonts w:eastAsia="Times New Roman"/>
          <w:i/>
          <w:lang w:val="sr-Cyrl-CS"/>
        </w:rPr>
      </w:pPr>
      <w:r w:rsidRPr="005C2181">
        <w:rPr>
          <w:rFonts w:eastAsia="Times New Roman"/>
          <w:i/>
        </w:rPr>
        <w:t>Resolution ITU-R 56 Naming for International Mobile Telecommunications</w:t>
      </w:r>
      <w:r w:rsidRPr="005C2181">
        <w:rPr>
          <w:rFonts w:eastAsia="Times New Roman"/>
          <w:i/>
          <w:lang w:val="sr-Cyrl-CS"/>
        </w:rPr>
        <w:t>;</w:t>
      </w:r>
    </w:p>
    <w:p w14:paraId="77E441BA" w14:textId="77777777" w:rsidR="005C0E45" w:rsidRPr="00094262" w:rsidRDefault="00B50D0D" w:rsidP="00A07012">
      <w:pPr>
        <w:numPr>
          <w:ilvl w:val="0"/>
          <w:numId w:val="8"/>
        </w:numPr>
        <w:spacing w:before="100" w:beforeAutospacing="1" w:after="100" w:afterAutospacing="1"/>
        <w:jc w:val="both"/>
        <w:outlineLvl w:val="1"/>
        <w:rPr>
          <w:rFonts w:eastAsia="Times New Roman"/>
          <w:i/>
          <w:lang w:val="sr-Cyrl-CS"/>
        </w:rPr>
      </w:pPr>
      <w:r w:rsidRPr="0041647B">
        <w:rPr>
          <w:i/>
        </w:rPr>
        <w:t>ECC/REC/(15)01</w:t>
      </w:r>
      <w:r w:rsidR="004B358F">
        <w:rPr>
          <w:i/>
        </w:rPr>
        <w:t>:</w:t>
      </w:r>
      <w:r w:rsidRPr="0041647B">
        <w:rPr>
          <w:i/>
        </w:rPr>
        <w:t xml:space="preserve"> Cross-border </w:t>
      </w:r>
      <w:r w:rsidR="00802D1B">
        <w:rPr>
          <w:i/>
        </w:rPr>
        <w:t>C</w:t>
      </w:r>
      <w:r w:rsidRPr="0041647B">
        <w:rPr>
          <w:i/>
        </w:rPr>
        <w:t xml:space="preserve">oordination for </w:t>
      </w:r>
      <w:r w:rsidR="00B34EE0">
        <w:rPr>
          <w:i/>
        </w:rPr>
        <w:t>M</w:t>
      </w:r>
      <w:r w:rsidRPr="0041647B">
        <w:rPr>
          <w:i/>
        </w:rPr>
        <w:t>obile/</w:t>
      </w:r>
      <w:r w:rsidR="00B34EE0">
        <w:rPr>
          <w:i/>
        </w:rPr>
        <w:t>F</w:t>
      </w:r>
      <w:r w:rsidRPr="0041647B">
        <w:rPr>
          <w:i/>
        </w:rPr>
        <w:t xml:space="preserve">ixed </w:t>
      </w:r>
      <w:r w:rsidR="00B34EE0">
        <w:rPr>
          <w:i/>
        </w:rPr>
        <w:t>C</w:t>
      </w:r>
      <w:r w:rsidRPr="0041647B">
        <w:rPr>
          <w:i/>
        </w:rPr>
        <w:t xml:space="preserve">ommunications </w:t>
      </w:r>
      <w:r w:rsidR="00B34EE0">
        <w:rPr>
          <w:i/>
        </w:rPr>
        <w:t>N</w:t>
      </w:r>
      <w:r w:rsidRPr="0041647B">
        <w:rPr>
          <w:i/>
        </w:rPr>
        <w:t>etworks (MFCN) in the frequency bands: 694-790 MHz, 1452-1492 MHz, 3</w:t>
      </w:r>
      <w:r w:rsidR="0041647B">
        <w:rPr>
          <w:i/>
        </w:rPr>
        <w:t>400-3600 MHz and 3600-3800 MHz.</w:t>
      </w:r>
    </w:p>
    <w:p w14:paraId="0ABA6E64" w14:textId="77777777" w:rsidR="001929BB" w:rsidRPr="00362364" w:rsidRDefault="008B2E37" w:rsidP="00C670B5">
      <w:pPr>
        <w:pStyle w:val="Heading2"/>
        <w:numPr>
          <w:ilvl w:val="0"/>
          <w:numId w:val="29"/>
        </w:numPr>
        <w:jc w:val="center"/>
        <w:rPr>
          <w:b/>
          <w:bCs/>
          <w:lang w:val="sr-Cyrl-CS"/>
        </w:rPr>
      </w:pPr>
      <w:bookmarkStart w:id="1" w:name="7"/>
      <w:bookmarkEnd w:id="1"/>
      <w:r w:rsidRPr="00362364">
        <w:rPr>
          <w:b/>
          <w:lang w:val="sr-Cyrl-CS"/>
        </w:rPr>
        <w:t>Услови за израду Плана расподеле</w:t>
      </w:r>
    </w:p>
    <w:p w14:paraId="2D29A282" w14:textId="77777777" w:rsidR="00323494" w:rsidRPr="009736F6" w:rsidRDefault="00961E98" w:rsidP="00D2527B">
      <w:pPr>
        <w:pStyle w:val="Heading2"/>
        <w:rPr>
          <w:lang w:val="sr-Cyrl-CS"/>
        </w:rPr>
      </w:pPr>
      <w:r w:rsidRPr="009736F6">
        <w:rPr>
          <w:lang w:val="sr-Cyrl-CS"/>
        </w:rPr>
        <w:t xml:space="preserve">При </w:t>
      </w:r>
      <w:r w:rsidR="00323494" w:rsidRPr="009736F6">
        <w:rPr>
          <w:lang w:val="sr-Cyrl-CS"/>
        </w:rPr>
        <w:t>изради Плана распод</w:t>
      </w:r>
      <w:r w:rsidR="00323494" w:rsidRPr="009736F6">
        <w:rPr>
          <w:lang w:val="sr-Latn-CS"/>
        </w:rPr>
        <w:t>e</w:t>
      </w:r>
      <w:r w:rsidR="00323494" w:rsidRPr="009736F6">
        <w:rPr>
          <w:lang w:val="sr-Cyrl-CS"/>
        </w:rPr>
        <w:t xml:space="preserve">ле </w:t>
      </w:r>
      <w:r w:rsidRPr="009736F6">
        <w:rPr>
          <w:lang w:val="sr-Cyrl-CS"/>
        </w:rPr>
        <w:t xml:space="preserve">примењени су </w:t>
      </w:r>
      <w:r w:rsidR="00323494" w:rsidRPr="009736F6">
        <w:rPr>
          <w:lang w:val="sr-Cyrl-CS"/>
        </w:rPr>
        <w:t xml:space="preserve">следећи </w:t>
      </w:r>
      <w:r w:rsidR="004A5B00" w:rsidRPr="009736F6">
        <w:rPr>
          <w:lang w:val="sr-Cyrl-CS"/>
        </w:rPr>
        <w:t>услови</w:t>
      </w:r>
      <w:r w:rsidR="00323494" w:rsidRPr="009736F6">
        <w:rPr>
          <w:lang w:val="sr-Cyrl-CS"/>
        </w:rPr>
        <w:t>:</w:t>
      </w:r>
    </w:p>
    <w:p w14:paraId="314C2733" w14:textId="77777777" w:rsidR="008971C5" w:rsidRPr="009736F6" w:rsidRDefault="00323494" w:rsidP="00D2527B">
      <w:pPr>
        <w:pStyle w:val="Heading2"/>
        <w:rPr>
          <w:b/>
          <w:bCs/>
          <w:lang w:val="sr-Cyrl-CS"/>
        </w:rPr>
      </w:pPr>
      <w:r w:rsidRPr="009736F6">
        <w:rPr>
          <w:lang w:val="sr-Cyrl-CS"/>
        </w:rPr>
        <w:t>1</w:t>
      </w:r>
      <w:r w:rsidRPr="00CA4939">
        <w:rPr>
          <w:lang w:val="sr-Cyrl-CS"/>
        </w:rPr>
        <w:t>)</w:t>
      </w:r>
      <w:r w:rsidR="00AA5268" w:rsidRPr="00CA4939">
        <w:rPr>
          <w:lang w:val="sr-Cyrl-CS"/>
        </w:rPr>
        <w:t xml:space="preserve"> </w:t>
      </w:r>
      <w:r w:rsidR="00CA4939" w:rsidRPr="00CA4939">
        <w:rPr>
          <w:lang w:val="sr-Cyrl-CS"/>
        </w:rPr>
        <w:t xml:space="preserve">омогућавање операторима јавних електронских комуникационих </w:t>
      </w:r>
      <w:r w:rsidR="00CA4939" w:rsidRPr="00CA4939">
        <w:t>мрежа</w:t>
      </w:r>
      <w:r w:rsidR="00CA4939" w:rsidRPr="00CA4939">
        <w:rPr>
          <w:lang w:val="sr-Cyrl-CS"/>
        </w:rPr>
        <w:t xml:space="preserve"> оптимално, техничко и економично планирање на бази технолошке неутралности, као и изградњ</w:t>
      </w:r>
      <w:r w:rsidR="00CA4939" w:rsidRPr="00CA4939">
        <w:t>а</w:t>
      </w:r>
      <w:r w:rsidR="00CA4939" w:rsidRPr="00CA4939">
        <w:rPr>
          <w:lang w:val="sr-Cyrl-CS"/>
        </w:rPr>
        <w:t xml:space="preserve"> и функционисање јавних мобилних/фиксних комуникационих мрежа на територији Републике Србије</w:t>
      </w:r>
      <w:r w:rsidR="008971C5" w:rsidRPr="00CA4939">
        <w:rPr>
          <w:lang w:val="sr-Cyrl-CS"/>
        </w:rPr>
        <w:t>;</w:t>
      </w:r>
    </w:p>
    <w:p w14:paraId="51889E6D" w14:textId="77777777" w:rsidR="008971C5" w:rsidRPr="009736F6" w:rsidRDefault="00AA5268" w:rsidP="00D2527B">
      <w:pPr>
        <w:pStyle w:val="Heading2"/>
        <w:rPr>
          <w:lang w:val="sr-Cyrl-CS"/>
        </w:rPr>
      </w:pPr>
      <w:r>
        <w:rPr>
          <w:lang w:val="sr-Cyrl-CS"/>
        </w:rPr>
        <w:t xml:space="preserve">2) </w:t>
      </w:r>
      <w:r w:rsidR="00472213" w:rsidRPr="009736F6">
        <w:rPr>
          <w:lang w:val="sr-Cyrl-CS"/>
        </w:rPr>
        <w:t xml:space="preserve">коришћење </w:t>
      </w:r>
      <w:r w:rsidR="008971C5" w:rsidRPr="009736F6">
        <w:rPr>
          <w:lang w:val="sr-Cyrl-CS"/>
        </w:rPr>
        <w:t>основн</w:t>
      </w:r>
      <w:r w:rsidR="00472213" w:rsidRPr="009736F6">
        <w:rPr>
          <w:lang w:val="sr-Cyrl-CS"/>
        </w:rPr>
        <w:t>их</w:t>
      </w:r>
      <w:r w:rsidR="008971C5" w:rsidRPr="009736F6">
        <w:rPr>
          <w:lang w:val="sr-Cyrl-CS"/>
        </w:rPr>
        <w:t xml:space="preserve"> регулаторн</w:t>
      </w:r>
      <w:r w:rsidR="00472213" w:rsidRPr="009736F6">
        <w:rPr>
          <w:lang w:val="sr-Cyrl-CS"/>
        </w:rPr>
        <w:t>их</w:t>
      </w:r>
      <w:r w:rsidR="008971C5" w:rsidRPr="009736F6">
        <w:rPr>
          <w:lang w:val="sr-Cyrl-CS"/>
        </w:rPr>
        <w:t xml:space="preserve"> поставк</w:t>
      </w:r>
      <w:r w:rsidR="00472213" w:rsidRPr="009736F6">
        <w:rPr>
          <w:lang w:val="sr-Cyrl-CS"/>
        </w:rPr>
        <w:t>и</w:t>
      </w:r>
      <w:r w:rsidR="008971C5" w:rsidRPr="009736F6">
        <w:rPr>
          <w:lang w:val="sr-Cyrl-CS"/>
        </w:rPr>
        <w:t xml:space="preserve"> за израду и реализацију</w:t>
      </w:r>
      <w:r w:rsidR="00CA4939">
        <w:rPr>
          <w:lang w:val="en-GB"/>
        </w:rPr>
        <w:t xml:space="preserve"> </w:t>
      </w:r>
      <w:r w:rsidR="00CA4939">
        <w:t>Плана расподеле</w:t>
      </w:r>
      <w:r w:rsidR="00C8363F">
        <w:rPr>
          <w:lang w:val="sr-Cyrl-CS"/>
        </w:rPr>
        <w:t xml:space="preserve">, које су усаглашене </w:t>
      </w:r>
      <w:r w:rsidR="00CA4939">
        <w:rPr>
          <w:lang w:val="sr-Cyrl-CS"/>
        </w:rPr>
        <w:t>са</w:t>
      </w:r>
      <w:r w:rsidR="008971C5" w:rsidRPr="009736F6">
        <w:rPr>
          <w:lang w:val="sr-Cyrl-CS"/>
        </w:rPr>
        <w:t xml:space="preserve"> докумен</w:t>
      </w:r>
      <w:r w:rsidR="00CA4939">
        <w:rPr>
          <w:lang w:val="sr-Cyrl-CS"/>
        </w:rPr>
        <w:t>тима</w:t>
      </w:r>
      <w:r w:rsidR="008971C5" w:rsidRPr="009736F6">
        <w:rPr>
          <w:lang w:val="sr-Cyrl-CS"/>
        </w:rPr>
        <w:t xml:space="preserve"> који се примењују у </w:t>
      </w:r>
      <w:r w:rsidR="00CA4939">
        <w:rPr>
          <w:lang w:val="sr-Cyrl-CS"/>
        </w:rPr>
        <w:t>држав</w:t>
      </w:r>
      <w:r w:rsidR="008971C5" w:rsidRPr="009736F6">
        <w:rPr>
          <w:lang w:val="sr-Cyrl-CS"/>
        </w:rPr>
        <w:t xml:space="preserve">ама чланицама </w:t>
      </w:r>
      <w:r w:rsidR="008971C5" w:rsidRPr="009736F6">
        <w:rPr>
          <w:lang w:val="sr-Latn-CS"/>
        </w:rPr>
        <w:t>CEPT</w:t>
      </w:r>
      <w:r w:rsidR="00CA4939">
        <w:t>-а</w:t>
      </w:r>
      <w:r w:rsidR="008971C5" w:rsidRPr="009736F6">
        <w:rPr>
          <w:lang w:val="sr-Latn-CS"/>
        </w:rPr>
        <w:t>;</w:t>
      </w:r>
    </w:p>
    <w:p w14:paraId="01329FB5" w14:textId="77777777" w:rsidR="008971C5" w:rsidRPr="009736F6" w:rsidRDefault="008971C5" w:rsidP="00D2527B">
      <w:pPr>
        <w:pStyle w:val="Heading2"/>
        <w:rPr>
          <w:b/>
          <w:bCs/>
          <w:lang w:val="sr-Cyrl-CS"/>
        </w:rPr>
      </w:pPr>
      <w:r w:rsidRPr="009736F6">
        <w:rPr>
          <w:lang w:val="sr-Cyrl-CS"/>
        </w:rPr>
        <w:t>3) основни технички параметри за израду и реализацију Плана расподеле</w:t>
      </w:r>
      <w:r w:rsidR="00CA4939">
        <w:rPr>
          <w:lang w:val="sr-Cyrl-CS"/>
        </w:rPr>
        <w:t>, који су</w:t>
      </w:r>
      <w:r w:rsidRPr="009736F6">
        <w:rPr>
          <w:lang w:val="sr-Cyrl-CS"/>
        </w:rPr>
        <w:t xml:space="preserve"> </w:t>
      </w:r>
      <w:r w:rsidR="007E5496" w:rsidRPr="009736F6">
        <w:rPr>
          <w:lang w:val="sr-Cyrl-CS"/>
        </w:rPr>
        <w:t xml:space="preserve">усаглашени </w:t>
      </w:r>
      <w:r w:rsidR="00CA4939">
        <w:rPr>
          <w:lang w:val="sr-Cyrl-CS"/>
        </w:rPr>
        <w:t>са</w:t>
      </w:r>
      <w:r w:rsidR="00C8363F">
        <w:rPr>
          <w:lang w:val="sr-Cyrl-CS"/>
        </w:rPr>
        <w:t xml:space="preserve"> документ</w:t>
      </w:r>
      <w:r w:rsidR="00CA4939">
        <w:rPr>
          <w:lang w:val="sr-Cyrl-CS"/>
        </w:rPr>
        <w:t>има</w:t>
      </w:r>
      <w:r w:rsidRPr="009736F6">
        <w:rPr>
          <w:lang w:val="sr-Cyrl-CS"/>
        </w:rPr>
        <w:t xml:space="preserve"> који се примењују у </w:t>
      </w:r>
      <w:r w:rsidR="00CA4939">
        <w:rPr>
          <w:lang w:val="sr-Cyrl-CS"/>
        </w:rPr>
        <w:t>државама</w:t>
      </w:r>
      <w:r w:rsidRPr="009736F6">
        <w:rPr>
          <w:lang w:val="sr-Cyrl-CS"/>
        </w:rPr>
        <w:t xml:space="preserve"> чланицама </w:t>
      </w:r>
      <w:r w:rsidRPr="009736F6">
        <w:rPr>
          <w:lang w:val="sr-Latn-CS"/>
        </w:rPr>
        <w:t>CEPT</w:t>
      </w:r>
      <w:r w:rsidR="00CA4939">
        <w:t>-а</w:t>
      </w:r>
      <w:r w:rsidRPr="009736F6">
        <w:rPr>
          <w:lang w:val="sr-Latn-CS"/>
        </w:rPr>
        <w:t>;</w:t>
      </w:r>
    </w:p>
    <w:p w14:paraId="0E2589A5" w14:textId="77777777" w:rsidR="008971C5" w:rsidRPr="009736F6" w:rsidRDefault="008971C5" w:rsidP="00D2527B">
      <w:pPr>
        <w:pStyle w:val="Heading2"/>
        <w:rPr>
          <w:lang w:val="sr-Cyrl-CS"/>
        </w:rPr>
      </w:pPr>
      <w:r w:rsidRPr="009736F6">
        <w:rPr>
          <w:lang w:val="sr-Cyrl-CS"/>
        </w:rPr>
        <w:lastRenderedPageBreak/>
        <w:t xml:space="preserve"> </w:t>
      </w:r>
      <w:r w:rsidR="00BE2EE3">
        <w:rPr>
          <w:lang w:val="sr-Cyrl-CS"/>
        </w:rPr>
        <w:t>4</w:t>
      </w:r>
      <w:r w:rsidRPr="009736F6">
        <w:rPr>
          <w:lang w:val="sr-Cyrl-CS"/>
        </w:rPr>
        <w:t>) усаглашено коришћење радио-фреквенцијских блокова/фреквенција од стране оператора на националном и међународном нивоу;</w:t>
      </w:r>
    </w:p>
    <w:p w14:paraId="511E3CD5" w14:textId="77777777" w:rsidR="008971C5" w:rsidRPr="009736F6" w:rsidRDefault="00BE2EE3" w:rsidP="00D2527B">
      <w:pPr>
        <w:pStyle w:val="Heading2"/>
        <w:rPr>
          <w:b/>
          <w:bCs/>
          <w:lang w:val="sr-Cyrl-CS"/>
        </w:rPr>
      </w:pPr>
      <w:r>
        <w:rPr>
          <w:lang w:val="sr-Cyrl-CS"/>
        </w:rPr>
        <w:t>5</w:t>
      </w:r>
      <w:r w:rsidR="008971C5" w:rsidRPr="009736F6">
        <w:rPr>
          <w:lang w:val="sr-Cyrl-CS"/>
        </w:rPr>
        <w:t>) коришћење рад</w:t>
      </w:r>
      <w:r w:rsidR="009736F6" w:rsidRPr="009736F6">
        <w:rPr>
          <w:lang w:val="sr-Cyrl-CS"/>
        </w:rPr>
        <w:t xml:space="preserve">ио-фреквенција из </w:t>
      </w:r>
      <w:r>
        <w:rPr>
          <w:lang w:val="sr-Cyrl-CS"/>
        </w:rPr>
        <w:t>радио-</w:t>
      </w:r>
      <w:r w:rsidR="009736F6" w:rsidRPr="009736F6">
        <w:rPr>
          <w:lang w:val="sr-Cyrl-CS"/>
        </w:rPr>
        <w:t>фреквенцијск</w:t>
      </w:r>
      <w:r w:rsidR="009736F6" w:rsidRPr="009736F6">
        <w:t>ог</w:t>
      </w:r>
      <w:r w:rsidR="008971C5" w:rsidRPr="009736F6">
        <w:rPr>
          <w:lang w:val="sr-Cyrl-CS"/>
        </w:rPr>
        <w:t xml:space="preserve"> опсега </w:t>
      </w:r>
      <w:r w:rsidR="004A1256">
        <w:rPr>
          <w:caps/>
        </w:rPr>
        <w:t>694-790</w:t>
      </w:r>
      <w:r w:rsidR="001929BB" w:rsidRPr="009736F6">
        <w:rPr>
          <w:lang w:val="sr-Cyrl-CS"/>
        </w:rPr>
        <w:t xml:space="preserve"> </w:t>
      </w:r>
      <w:r w:rsidR="001929BB" w:rsidRPr="009736F6">
        <w:rPr>
          <w:lang w:val="sr-Latn-CS"/>
        </w:rPr>
        <w:t>MHz</w:t>
      </w:r>
      <w:r w:rsidR="001929BB" w:rsidRPr="009736F6" w:rsidDel="001929BB">
        <w:rPr>
          <w:caps/>
          <w:lang w:val="sr-Cyrl-CS"/>
        </w:rPr>
        <w:t xml:space="preserve"> </w:t>
      </w:r>
      <w:r w:rsidR="007C32CF" w:rsidRPr="009736F6">
        <w:rPr>
          <w:lang w:val="sr-Cyrl-CS"/>
        </w:rPr>
        <w:t xml:space="preserve">у </w:t>
      </w:r>
      <w:r w:rsidR="008971C5" w:rsidRPr="009736F6">
        <w:rPr>
          <w:lang w:val="sr-Cyrl-CS"/>
        </w:rPr>
        <w:t>циљу избегавања појаве међусобних штетних сметњи.</w:t>
      </w:r>
    </w:p>
    <w:p w14:paraId="10109E12" w14:textId="77777777" w:rsidR="00D82F40" w:rsidRDefault="008B2E37" w:rsidP="00D2527B">
      <w:pPr>
        <w:pStyle w:val="Heading2"/>
        <w:rPr>
          <w:lang w:val="sr-Cyrl-CS"/>
        </w:rPr>
      </w:pPr>
      <w:r w:rsidRPr="009736F6">
        <w:rPr>
          <w:lang w:val="sr-Cyrl-CS"/>
        </w:rPr>
        <w:t xml:space="preserve">На основу услова за израду </w:t>
      </w:r>
      <w:r w:rsidR="009736F6" w:rsidRPr="009736F6">
        <w:rPr>
          <w:lang w:val="sr-Cyrl-CS"/>
        </w:rPr>
        <w:t xml:space="preserve">Плана расподеле у </w:t>
      </w:r>
      <w:r w:rsidR="00CA4939">
        <w:rPr>
          <w:lang w:val="sr-Cyrl-CS"/>
        </w:rPr>
        <w:t>радио-</w:t>
      </w:r>
      <w:r w:rsidR="009736F6" w:rsidRPr="009736F6">
        <w:rPr>
          <w:lang w:val="sr-Cyrl-CS"/>
        </w:rPr>
        <w:t>фреквенцијск</w:t>
      </w:r>
      <w:r w:rsidR="009736F6" w:rsidRPr="009736F6">
        <w:t>о</w:t>
      </w:r>
      <w:r w:rsidR="004A1256">
        <w:t>м</w:t>
      </w:r>
      <w:r w:rsidR="009736F6" w:rsidRPr="009736F6">
        <w:rPr>
          <w:lang w:val="sr-Cyrl-CS"/>
        </w:rPr>
        <w:t xml:space="preserve"> опсег</w:t>
      </w:r>
      <w:r w:rsidR="004A1256">
        <w:rPr>
          <w:lang w:val="sr-Cyrl-CS"/>
        </w:rPr>
        <w:t>у</w:t>
      </w:r>
      <w:r w:rsidR="009736F6" w:rsidRPr="009736F6">
        <w:rPr>
          <w:lang w:val="sr-Cyrl-CS"/>
        </w:rPr>
        <w:t xml:space="preserve"> </w:t>
      </w:r>
      <w:r w:rsidR="00AA5268">
        <w:rPr>
          <w:caps/>
        </w:rPr>
        <w:t>694-790</w:t>
      </w:r>
      <w:r w:rsidR="009736F6" w:rsidRPr="009736F6">
        <w:rPr>
          <w:lang w:val="sr-Cyrl-CS"/>
        </w:rPr>
        <w:t xml:space="preserve"> </w:t>
      </w:r>
      <w:r w:rsidR="001929BB" w:rsidRPr="009736F6">
        <w:rPr>
          <w:lang w:val="sr-Latn-CS"/>
        </w:rPr>
        <w:t>MHz</w:t>
      </w:r>
      <w:r w:rsidR="001929BB" w:rsidRPr="009736F6" w:rsidDel="001929BB">
        <w:rPr>
          <w:caps/>
          <w:lang w:val="sr-Cyrl-CS"/>
        </w:rPr>
        <w:t xml:space="preserve"> </w:t>
      </w:r>
      <w:r w:rsidRPr="009736F6">
        <w:rPr>
          <w:lang w:val="sr-Cyrl-CS"/>
        </w:rPr>
        <w:t xml:space="preserve">прописују се </w:t>
      </w:r>
      <w:r w:rsidR="00C8363F">
        <w:rPr>
          <w:lang w:val="sr-Cyrl-CS"/>
        </w:rPr>
        <w:t xml:space="preserve">општи, </w:t>
      </w:r>
      <w:r w:rsidRPr="009736F6">
        <w:rPr>
          <w:lang w:val="sr-Cyrl-CS"/>
        </w:rPr>
        <w:t>технички и регулаторни услови за расподелу радио-фреквенција у ов</w:t>
      </w:r>
      <w:r w:rsidR="00AA5268">
        <w:rPr>
          <w:lang w:val="sr-Cyrl-CS"/>
        </w:rPr>
        <w:t xml:space="preserve">ом </w:t>
      </w:r>
      <w:r w:rsidR="00C8363F">
        <w:rPr>
          <w:lang w:val="sr-Cyrl-CS"/>
        </w:rPr>
        <w:t>радио-</w:t>
      </w:r>
      <w:r w:rsidR="00AA5268">
        <w:rPr>
          <w:lang w:val="sr-Cyrl-CS"/>
        </w:rPr>
        <w:t>фреквенцијском опсегу</w:t>
      </w:r>
      <w:r w:rsidRPr="009736F6">
        <w:rPr>
          <w:lang w:val="sr-Cyrl-CS"/>
        </w:rPr>
        <w:t>.</w:t>
      </w:r>
      <w:r w:rsidR="00D82F40" w:rsidRPr="008277E0">
        <w:rPr>
          <w:lang w:val="sr-Cyrl-CS"/>
        </w:rPr>
        <w:t xml:space="preserve"> </w:t>
      </w:r>
    </w:p>
    <w:p w14:paraId="688CDCDF" w14:textId="77777777" w:rsidR="007B61B9" w:rsidRPr="008277E0" w:rsidRDefault="007B61B9" w:rsidP="00D2527B">
      <w:pPr>
        <w:pStyle w:val="Heading2"/>
        <w:rPr>
          <w:b/>
          <w:bCs/>
          <w:lang w:val="sr-Cyrl-CS"/>
        </w:rPr>
      </w:pPr>
    </w:p>
    <w:p w14:paraId="7F024A06" w14:textId="77777777" w:rsidR="00581A79" w:rsidRPr="00362364" w:rsidRDefault="00136BB0" w:rsidP="00C670B5">
      <w:pPr>
        <w:pStyle w:val="Heading2"/>
        <w:numPr>
          <w:ilvl w:val="0"/>
          <w:numId w:val="29"/>
        </w:numPr>
        <w:jc w:val="center"/>
        <w:rPr>
          <w:b/>
          <w:bCs/>
          <w:lang w:val="sr-Cyrl-CS"/>
        </w:rPr>
      </w:pPr>
      <w:r w:rsidRPr="00362364">
        <w:rPr>
          <w:b/>
          <w:lang w:val="sr-Cyrl-CS"/>
        </w:rPr>
        <w:t xml:space="preserve">Општи услови за расподелу радио-фреквенција из намењених </w:t>
      </w:r>
      <w:r w:rsidR="00C8363F" w:rsidRPr="00362364">
        <w:rPr>
          <w:b/>
          <w:lang w:val="sr-Cyrl-CS"/>
        </w:rPr>
        <w:t>радио-</w:t>
      </w:r>
      <w:r w:rsidRPr="00362364">
        <w:rPr>
          <w:b/>
          <w:lang w:val="sr-Cyrl-CS"/>
        </w:rPr>
        <w:t>фреквенцијских опсега</w:t>
      </w:r>
    </w:p>
    <w:p w14:paraId="15DEC16B" w14:textId="77777777" w:rsidR="00411A32" w:rsidRPr="00CB5147" w:rsidRDefault="00CA4939" w:rsidP="00D2527B">
      <w:pPr>
        <w:pStyle w:val="Heading2"/>
        <w:rPr>
          <w:b/>
          <w:bCs/>
        </w:rPr>
      </w:pPr>
      <w:r w:rsidRPr="00CA4939">
        <w:rPr>
          <w:lang w:val="sr-Cyrl-CS"/>
        </w:rPr>
        <w:t>П</w:t>
      </w:r>
      <w:r w:rsidRPr="00CA4939">
        <w:t xml:space="preserve">лан расподеле прописује услове за расподелу радио-фреквенција из радио-фреквенцијског опсега </w:t>
      </w:r>
      <w:r w:rsidR="009C3C1F" w:rsidRPr="00CA4939">
        <w:t>694</w:t>
      </w:r>
      <w:r w:rsidR="009C3C1F">
        <w:t>-790</w:t>
      </w:r>
      <w:r w:rsidR="00411A32" w:rsidRPr="004C16A9">
        <w:t xml:space="preserve"> MHz </w:t>
      </w:r>
      <w:r w:rsidRPr="00CA4939">
        <w:t>за мобилне/фиксне комуникационе мреже (MFCN) за пружање јавне електронске комуникационе услуге</w:t>
      </w:r>
      <w:r w:rsidR="00411A32" w:rsidRPr="004C16A9">
        <w:t xml:space="preserve">. </w:t>
      </w:r>
    </w:p>
    <w:p w14:paraId="1DAED574" w14:textId="77777777" w:rsidR="00CA4939" w:rsidRDefault="00CA4939" w:rsidP="00D2527B">
      <w:pPr>
        <w:pStyle w:val="Heading2"/>
        <w:rPr>
          <w:b/>
          <w:bCs/>
        </w:rPr>
      </w:pPr>
      <w:r>
        <w:t>Мобилне/фиксне комуникационе мреже (MFCN) укључују терестрички IMT (</w:t>
      </w:r>
      <w:r>
        <w:rPr>
          <w:i/>
        </w:rPr>
        <w:t>International Mobile Telecommunications</w:t>
      </w:r>
      <w:r>
        <w:t>), где IMT обухвата IMT-2000, IMT-</w:t>
      </w:r>
      <w:r>
        <w:rPr>
          <w:i/>
        </w:rPr>
        <w:t>Advanced</w:t>
      </w:r>
      <w:r>
        <w:t xml:space="preserve"> и </w:t>
      </w:r>
      <w:r>
        <w:rPr>
          <w:lang w:val="en-GB"/>
        </w:rPr>
        <w:t xml:space="preserve">IMT-2020 </w:t>
      </w:r>
      <w:r>
        <w:t xml:space="preserve">(Резолуцијa ITU-R 56 - </w:t>
      </w:r>
      <w:r>
        <w:rPr>
          <w:i/>
        </w:rPr>
        <w:t>Naming for International Mobile Telecommunications</w:t>
      </w:r>
      <w:r>
        <w:t>).</w:t>
      </w:r>
    </w:p>
    <w:p w14:paraId="573F83BA" w14:textId="77777777" w:rsidR="00F748EF" w:rsidRPr="00D6761A" w:rsidRDefault="007A0D13" w:rsidP="00D2527B">
      <w:pPr>
        <w:pStyle w:val="Heading2"/>
        <w:rPr>
          <w:b/>
          <w:bCs/>
        </w:rPr>
      </w:pPr>
      <w:r>
        <w:t xml:space="preserve">У </w:t>
      </w:r>
      <w:r w:rsidR="009C3C1F">
        <w:t>радио-</w:t>
      </w:r>
      <w:r>
        <w:t xml:space="preserve">фреквенцијском опсегу </w:t>
      </w:r>
      <w:r w:rsidR="009C3C1F">
        <w:t>694-790</w:t>
      </w:r>
      <w:r w:rsidRPr="004A12D7">
        <w:t xml:space="preserve"> MHz користи се </w:t>
      </w:r>
      <w:r w:rsidR="00F748EF">
        <w:t xml:space="preserve">дуплексни начин рада </w:t>
      </w:r>
      <w:r w:rsidR="00F748EF">
        <w:rPr>
          <w:lang w:val="en-GB"/>
        </w:rPr>
        <w:t>F</w:t>
      </w:r>
      <w:r w:rsidR="00F748EF">
        <w:t>DD (</w:t>
      </w:r>
      <w:r w:rsidR="00F748EF" w:rsidRPr="00D6761A">
        <w:rPr>
          <w:i/>
        </w:rPr>
        <w:t>Frequency Division Duplex</w:t>
      </w:r>
      <w:r w:rsidR="00F748EF">
        <w:t xml:space="preserve">) са </w:t>
      </w:r>
      <w:r w:rsidR="00031C6B">
        <w:rPr>
          <w:lang w:val="en-GB"/>
        </w:rPr>
        <w:t xml:space="preserve">FDD </w:t>
      </w:r>
      <w:r w:rsidR="00F748EF">
        <w:t xml:space="preserve">дуплексним размаком од 55 </w:t>
      </w:r>
      <w:r w:rsidR="00F748EF">
        <w:rPr>
          <w:lang w:val="en-GB"/>
        </w:rPr>
        <w:t>MHz</w:t>
      </w:r>
      <w:r w:rsidR="00C8363F">
        <w:t xml:space="preserve">, </w:t>
      </w:r>
      <w:r w:rsidR="00922F3F">
        <w:t>који</w:t>
      </w:r>
      <w:r w:rsidR="00F748EF">
        <w:t xml:space="preserve"> обухвата </w:t>
      </w:r>
      <w:r w:rsidR="00F748EF" w:rsidRPr="00F748EF">
        <w:rPr>
          <w:lang w:val="sr-Cyrl-CS"/>
        </w:rPr>
        <w:t>2</w:t>
      </w:r>
      <w:r w:rsidR="00492286">
        <w:t xml:space="preserve"> </w:t>
      </w:r>
      <w:r w:rsidR="00F748EF" w:rsidRPr="00F748EF">
        <w:t>x</w:t>
      </w:r>
      <w:r w:rsidR="00492286">
        <w:t xml:space="preserve"> </w:t>
      </w:r>
      <w:r w:rsidR="00F748EF" w:rsidRPr="00F748EF">
        <w:rPr>
          <w:lang w:val="sr-Cyrl-CS"/>
        </w:rPr>
        <w:t>30</w:t>
      </w:r>
      <w:r w:rsidR="00492286">
        <w:t xml:space="preserve"> </w:t>
      </w:r>
      <w:r w:rsidR="00F748EF" w:rsidRPr="00F748EF">
        <w:rPr>
          <w:lang w:val="sr-Cyrl-CS"/>
        </w:rPr>
        <w:t>М</w:t>
      </w:r>
      <w:r w:rsidR="00F748EF" w:rsidRPr="00F748EF">
        <w:t>Hz</w:t>
      </w:r>
      <w:r w:rsidR="00F748EF" w:rsidRPr="00F748EF">
        <w:rPr>
          <w:lang w:val="sr-Cyrl-CS"/>
        </w:rPr>
        <w:t xml:space="preserve"> (упарено)</w:t>
      </w:r>
      <w:r w:rsidRPr="00F748EF">
        <w:t xml:space="preserve">. </w:t>
      </w:r>
      <w:r w:rsidR="00F748EF" w:rsidRPr="00F748EF">
        <w:t>FDD</w:t>
      </w:r>
      <w:r w:rsidR="00F748EF" w:rsidRPr="00F748EF">
        <w:rPr>
          <w:lang w:val="sr-Cyrl-CS"/>
        </w:rPr>
        <w:t xml:space="preserve"> </w:t>
      </w:r>
      <w:r w:rsidR="00F748EF" w:rsidRPr="00D6761A">
        <w:rPr>
          <w:i/>
        </w:rPr>
        <w:t>Downlink</w:t>
      </w:r>
      <w:r w:rsidR="00F748EF" w:rsidRPr="00D6761A">
        <w:rPr>
          <w:i/>
          <w:lang w:val="sr-Cyrl-CS"/>
        </w:rPr>
        <w:t xml:space="preserve"> </w:t>
      </w:r>
      <w:r w:rsidR="00F748EF" w:rsidRPr="00F748EF">
        <w:rPr>
          <w:lang w:val="sr-Cyrl-CS"/>
        </w:rPr>
        <w:t>почиње од 7</w:t>
      </w:r>
      <w:r w:rsidR="00F748EF">
        <w:t>58</w:t>
      </w:r>
      <w:r w:rsidR="00F748EF" w:rsidRPr="00F748EF">
        <w:rPr>
          <w:lang w:val="sr-Cyrl-CS"/>
        </w:rPr>
        <w:t xml:space="preserve"> М</w:t>
      </w:r>
      <w:r w:rsidR="00F748EF" w:rsidRPr="00F748EF">
        <w:t>Hz</w:t>
      </w:r>
      <w:r w:rsidR="00C933E4">
        <w:t>,</w:t>
      </w:r>
      <w:r w:rsidR="00F748EF" w:rsidRPr="00F748EF">
        <w:rPr>
          <w:lang w:val="sr-Cyrl-CS"/>
        </w:rPr>
        <w:t xml:space="preserve"> а </w:t>
      </w:r>
      <w:r w:rsidR="00F748EF" w:rsidRPr="00F748EF">
        <w:t>FDD</w:t>
      </w:r>
      <w:r w:rsidR="00F748EF" w:rsidRPr="00F748EF">
        <w:rPr>
          <w:lang w:val="sr-Cyrl-CS"/>
        </w:rPr>
        <w:t xml:space="preserve"> </w:t>
      </w:r>
      <w:r w:rsidR="00F748EF" w:rsidRPr="00D6761A">
        <w:rPr>
          <w:i/>
        </w:rPr>
        <w:t>Uplink</w:t>
      </w:r>
      <w:r w:rsidR="00F748EF" w:rsidRPr="00F748EF">
        <w:rPr>
          <w:lang w:val="sr-Cyrl-CS"/>
        </w:rPr>
        <w:t xml:space="preserve"> од </w:t>
      </w:r>
      <w:r w:rsidR="00F748EF">
        <w:t>703</w:t>
      </w:r>
      <w:r w:rsidR="00F748EF" w:rsidRPr="00F748EF">
        <w:rPr>
          <w:lang w:val="sr-Cyrl-CS"/>
        </w:rPr>
        <w:t xml:space="preserve"> М</w:t>
      </w:r>
      <w:r w:rsidR="00F748EF" w:rsidRPr="00F748EF">
        <w:t>Hz</w:t>
      </w:r>
      <w:r w:rsidR="00F748EF" w:rsidRPr="00F748EF">
        <w:rPr>
          <w:lang w:val="sr-Cyrl-CS"/>
        </w:rPr>
        <w:t>.</w:t>
      </w:r>
      <w:r w:rsidR="00D6761A">
        <w:t xml:space="preserve"> </w:t>
      </w:r>
      <w:proofErr w:type="spellStart"/>
      <w:r w:rsidR="00D6761A">
        <w:t>За</w:t>
      </w:r>
      <w:proofErr w:type="spellEnd"/>
      <w:r w:rsidR="00D6761A">
        <w:t xml:space="preserve"> </w:t>
      </w:r>
      <w:proofErr w:type="spellStart"/>
      <w:r w:rsidR="00D6761A">
        <w:t>додатну</w:t>
      </w:r>
      <w:proofErr w:type="spellEnd"/>
      <w:r w:rsidR="00D6761A">
        <w:t xml:space="preserve"> </w:t>
      </w:r>
      <w:r w:rsidR="00D6761A" w:rsidRPr="004C16A9">
        <w:t>MFCN</w:t>
      </w:r>
      <w:r w:rsidR="00D6761A">
        <w:t xml:space="preserve"> </w:t>
      </w:r>
      <w:proofErr w:type="spellStart"/>
      <w:r w:rsidR="00D6761A">
        <w:t>силазну</w:t>
      </w:r>
      <w:proofErr w:type="spellEnd"/>
      <w:r w:rsidR="00D6761A">
        <w:t xml:space="preserve"> </w:t>
      </w:r>
      <w:proofErr w:type="spellStart"/>
      <w:r w:rsidR="00D6761A">
        <w:t>везу</w:t>
      </w:r>
      <w:proofErr w:type="spellEnd"/>
      <w:r w:rsidR="00D6761A">
        <w:t xml:space="preserve"> </w:t>
      </w:r>
      <w:r w:rsidR="00D6761A">
        <w:rPr>
          <w:lang w:val="en-GB"/>
        </w:rPr>
        <w:t>SDL (</w:t>
      </w:r>
      <w:r w:rsidR="00D6761A" w:rsidRPr="00D6761A">
        <w:rPr>
          <w:i/>
          <w:lang w:val="en-GB"/>
        </w:rPr>
        <w:t>Supplemental Down</w:t>
      </w:r>
      <w:r w:rsidR="00213C4A">
        <w:rPr>
          <w:i/>
        </w:rPr>
        <w:t>l</w:t>
      </w:r>
      <w:r w:rsidR="00D6761A" w:rsidRPr="00D6761A">
        <w:rPr>
          <w:i/>
          <w:lang w:val="en-GB"/>
        </w:rPr>
        <w:t>ink</w:t>
      </w:r>
      <w:r w:rsidR="00D6761A">
        <w:rPr>
          <w:lang w:val="en-GB"/>
        </w:rPr>
        <w:t>)</w:t>
      </w:r>
      <w:r w:rsidR="00D2527B">
        <w:t xml:space="preserve"> </w:t>
      </w:r>
      <w:proofErr w:type="spellStart"/>
      <w:r w:rsidR="00D2527B">
        <w:t>на</w:t>
      </w:r>
      <w:proofErr w:type="spellEnd"/>
      <w:r w:rsidR="00D2527B">
        <w:t xml:space="preserve"> </w:t>
      </w:r>
      <w:proofErr w:type="spellStart"/>
      <w:r w:rsidR="00D2527B">
        <w:t>основу</w:t>
      </w:r>
      <w:proofErr w:type="spellEnd"/>
      <w:r w:rsidR="00D2527B">
        <w:t xml:space="preserve"> </w:t>
      </w:r>
      <w:proofErr w:type="spellStart"/>
      <w:r w:rsidR="00D2527B">
        <w:t>Плана</w:t>
      </w:r>
      <w:proofErr w:type="spellEnd"/>
      <w:r w:rsidR="00D2527B">
        <w:t xml:space="preserve"> </w:t>
      </w:r>
      <w:proofErr w:type="spellStart"/>
      <w:r w:rsidR="00D2527B">
        <w:t>намене</w:t>
      </w:r>
      <w:proofErr w:type="spellEnd"/>
      <w:r w:rsidR="00D2527B">
        <w:t xml:space="preserve"> </w:t>
      </w:r>
      <w:proofErr w:type="spellStart"/>
      <w:r w:rsidR="00D2527B">
        <w:t>планирано</w:t>
      </w:r>
      <w:proofErr w:type="spellEnd"/>
      <w:r w:rsidR="00D2527B">
        <w:t xml:space="preserve"> </w:t>
      </w:r>
      <w:proofErr w:type="spellStart"/>
      <w:r w:rsidR="00D2527B">
        <w:t>је</w:t>
      </w:r>
      <w:proofErr w:type="spellEnd"/>
      <w:r w:rsidR="00D2527B">
        <w:t xml:space="preserve"> </w:t>
      </w:r>
      <w:proofErr w:type="spellStart"/>
      <w:r w:rsidR="00D2527B">
        <w:t>коришћење</w:t>
      </w:r>
      <w:proofErr w:type="spellEnd"/>
      <w:r w:rsidR="00D2527B">
        <w:t xml:space="preserve"> </w:t>
      </w:r>
      <w:proofErr w:type="spellStart"/>
      <w:r w:rsidR="00D2527B">
        <w:t>рад</w:t>
      </w:r>
      <w:r w:rsidR="00922F3F">
        <w:t>ио-фреквенцијск</w:t>
      </w:r>
      <w:r w:rsidR="00D2527B">
        <w:t>ог</w:t>
      </w:r>
      <w:proofErr w:type="spellEnd"/>
      <w:r w:rsidR="00D2527B">
        <w:t xml:space="preserve"> </w:t>
      </w:r>
      <w:proofErr w:type="spellStart"/>
      <w:proofErr w:type="gramStart"/>
      <w:r w:rsidR="00D2527B">
        <w:t>опсега</w:t>
      </w:r>
      <w:proofErr w:type="spellEnd"/>
      <w:r w:rsidR="00D2527B">
        <w:t xml:space="preserve"> </w:t>
      </w:r>
      <w:r w:rsidR="00D6761A">
        <w:t xml:space="preserve"> 738</w:t>
      </w:r>
      <w:proofErr w:type="gramEnd"/>
      <w:r w:rsidR="00D6761A">
        <w:t>-</w:t>
      </w:r>
      <w:r w:rsidR="00D10845">
        <w:t xml:space="preserve">753 </w:t>
      </w:r>
      <w:r w:rsidR="00D6761A">
        <w:rPr>
          <w:lang w:val="en-GB"/>
        </w:rPr>
        <w:t>MHz.</w:t>
      </w:r>
    </w:p>
    <w:p w14:paraId="3AAD6670" w14:textId="77777777" w:rsidR="00D0588B" w:rsidRPr="00BA57BC" w:rsidRDefault="007A0D13" w:rsidP="00D2527B">
      <w:pPr>
        <w:pStyle w:val="Heading2"/>
        <w:rPr>
          <w:b/>
          <w:bCs/>
        </w:rPr>
      </w:pPr>
      <w:r w:rsidRPr="00F748EF">
        <w:t>Основни</w:t>
      </w:r>
      <w:r w:rsidRPr="004A12D7">
        <w:t xml:space="preserve"> </w:t>
      </w:r>
      <w:r w:rsidR="00EA76B6">
        <w:t>радио-</w:t>
      </w:r>
      <w:r w:rsidRPr="004A12D7">
        <w:t xml:space="preserve">фреквенцијски блок је ширине 5 </w:t>
      </w:r>
      <w:r w:rsidRPr="00CC2D00">
        <w:t>MHz</w:t>
      </w:r>
      <w:r w:rsidR="00F748EF">
        <w:t xml:space="preserve">. </w:t>
      </w:r>
      <w:r w:rsidR="00D6761A">
        <w:rPr>
          <w:lang w:val="sr-Cyrl-CS"/>
        </w:rPr>
        <w:t>Уведени су</w:t>
      </w:r>
      <w:r w:rsidR="00F748EF" w:rsidRPr="00F748EF">
        <w:rPr>
          <w:lang w:val="sr-Cyrl-CS"/>
        </w:rPr>
        <w:t xml:space="preserve"> заштитни </w:t>
      </w:r>
      <w:r w:rsidR="00EA76B6">
        <w:rPr>
          <w:lang w:val="sr-Cyrl-CS"/>
        </w:rPr>
        <w:t>радио-</w:t>
      </w:r>
      <w:r w:rsidR="00F748EF" w:rsidRPr="00F748EF">
        <w:rPr>
          <w:lang w:val="sr-Cyrl-CS"/>
        </w:rPr>
        <w:t>фреквенцијски опсези</w:t>
      </w:r>
      <w:r w:rsidR="00D6761A">
        <w:rPr>
          <w:lang w:val="en-GB"/>
        </w:rPr>
        <w:t xml:space="preserve"> 694-703 </w:t>
      </w:r>
      <w:r w:rsidR="00D6761A">
        <w:t>MHz</w:t>
      </w:r>
      <w:r w:rsidR="00D0588B">
        <w:t xml:space="preserve"> и</w:t>
      </w:r>
      <w:r w:rsidR="00D6761A">
        <w:t xml:space="preserve"> 788-791 MHz</w:t>
      </w:r>
      <w:r w:rsidR="00D0588B">
        <w:t xml:space="preserve">. Радио-фреквенцијски опсег </w:t>
      </w:r>
      <w:r w:rsidR="00D0588B">
        <w:rPr>
          <w:lang w:val="en-GB"/>
        </w:rPr>
        <w:t>733-7</w:t>
      </w:r>
      <w:r w:rsidR="00D0588B">
        <w:t>5</w:t>
      </w:r>
      <w:r w:rsidR="00D0588B">
        <w:rPr>
          <w:lang w:val="en-GB"/>
        </w:rPr>
        <w:t xml:space="preserve">8 MHz </w:t>
      </w:r>
      <w:r w:rsidR="00D0588B">
        <w:t xml:space="preserve">налази се између </w:t>
      </w:r>
      <w:r w:rsidR="00D0588B" w:rsidRPr="00F748EF">
        <w:t>FDD</w:t>
      </w:r>
      <w:r w:rsidR="00D0588B" w:rsidRPr="00F748EF">
        <w:rPr>
          <w:lang w:val="sr-Cyrl-CS"/>
        </w:rPr>
        <w:t xml:space="preserve"> </w:t>
      </w:r>
      <w:r w:rsidR="00D0588B" w:rsidRPr="00D6761A">
        <w:rPr>
          <w:i/>
        </w:rPr>
        <w:t>Uplink</w:t>
      </w:r>
      <w:r w:rsidR="00D0588B">
        <w:rPr>
          <w:lang w:val="en-GB"/>
        </w:rPr>
        <w:t xml:space="preserve"> </w:t>
      </w:r>
      <w:r w:rsidR="00D0588B">
        <w:t xml:space="preserve">и </w:t>
      </w:r>
      <w:r w:rsidR="00D0588B" w:rsidRPr="00F748EF">
        <w:t>FDD</w:t>
      </w:r>
      <w:r w:rsidR="00D0588B" w:rsidRPr="00F748EF">
        <w:rPr>
          <w:lang w:val="sr-Cyrl-CS"/>
        </w:rPr>
        <w:t xml:space="preserve"> </w:t>
      </w:r>
      <w:r w:rsidR="00D0588B" w:rsidRPr="00D6761A">
        <w:rPr>
          <w:i/>
        </w:rPr>
        <w:t>Downlink</w:t>
      </w:r>
      <w:r w:rsidR="00D0588B">
        <w:rPr>
          <w:lang w:val="en-GB"/>
        </w:rPr>
        <w:t xml:space="preserve"> </w:t>
      </w:r>
      <w:r w:rsidR="00EA76B6">
        <w:t>радио-</w:t>
      </w:r>
      <w:r w:rsidR="00D0588B">
        <w:t xml:space="preserve">фреквенцијских опсега. Радио-фреквенцијски опсег </w:t>
      </w:r>
      <w:r w:rsidR="00D0588B">
        <w:rPr>
          <w:lang w:val="en-GB"/>
        </w:rPr>
        <w:t>733-7</w:t>
      </w:r>
      <w:r w:rsidR="006204ED">
        <w:rPr>
          <w:lang w:val="en-GB"/>
        </w:rPr>
        <w:t>3</w:t>
      </w:r>
      <w:r w:rsidR="00D0588B">
        <w:rPr>
          <w:lang w:val="en-GB"/>
        </w:rPr>
        <w:t>8 MHz</w:t>
      </w:r>
      <w:r w:rsidR="00D0588B">
        <w:rPr>
          <w:lang w:val="sr-Cyrl-CS"/>
        </w:rPr>
        <w:t xml:space="preserve"> налази се између </w:t>
      </w:r>
      <w:r w:rsidR="00D0588B" w:rsidRPr="00F748EF">
        <w:t>FDD</w:t>
      </w:r>
      <w:r w:rsidR="00D0588B" w:rsidRPr="00F748EF">
        <w:rPr>
          <w:lang w:val="sr-Cyrl-CS"/>
        </w:rPr>
        <w:t xml:space="preserve"> </w:t>
      </w:r>
      <w:r w:rsidR="00D0588B" w:rsidRPr="00D6761A">
        <w:rPr>
          <w:i/>
        </w:rPr>
        <w:t>Uplink</w:t>
      </w:r>
      <w:r w:rsidR="00D0588B">
        <w:rPr>
          <w:i/>
        </w:rPr>
        <w:t xml:space="preserve"> </w:t>
      </w:r>
      <w:r w:rsidR="00D0588B">
        <w:t xml:space="preserve">и </w:t>
      </w:r>
      <w:r w:rsidR="00D0588B">
        <w:rPr>
          <w:lang w:val="en-GB"/>
        </w:rPr>
        <w:t>SDL</w:t>
      </w:r>
      <w:r w:rsidR="00D0588B">
        <w:t xml:space="preserve"> </w:t>
      </w:r>
      <w:r w:rsidR="00EA76B6">
        <w:t>радио-</w:t>
      </w:r>
      <w:r w:rsidR="00D0588B">
        <w:t>фреквенцијских опсега.</w:t>
      </w:r>
      <w:r w:rsidR="000D3C54">
        <w:t xml:space="preserve"> Радио-фреквенцијски опсег </w:t>
      </w:r>
      <w:r w:rsidR="000D3C54">
        <w:rPr>
          <w:lang w:val="en-GB"/>
        </w:rPr>
        <w:t>7</w:t>
      </w:r>
      <w:r w:rsidR="000D3C54">
        <w:t>5</w:t>
      </w:r>
      <w:r w:rsidR="000D3C54">
        <w:rPr>
          <w:lang w:val="en-GB"/>
        </w:rPr>
        <w:t>3-7</w:t>
      </w:r>
      <w:r w:rsidR="000D3C54">
        <w:t>5</w:t>
      </w:r>
      <w:r w:rsidR="000D3C54">
        <w:rPr>
          <w:lang w:val="en-GB"/>
        </w:rPr>
        <w:t>8 MHz</w:t>
      </w:r>
      <w:r w:rsidR="000D3C54">
        <w:rPr>
          <w:lang w:val="sr-Cyrl-CS"/>
        </w:rPr>
        <w:t xml:space="preserve"> налази се између </w:t>
      </w:r>
      <w:r w:rsidR="000D3C54">
        <w:rPr>
          <w:lang w:val="en-GB"/>
        </w:rPr>
        <w:t>SDL</w:t>
      </w:r>
      <w:r w:rsidR="000D3C54">
        <w:t xml:space="preserve"> и </w:t>
      </w:r>
      <w:r w:rsidR="000D3C54" w:rsidRPr="00F748EF">
        <w:t>FDD</w:t>
      </w:r>
      <w:r w:rsidR="000D3C54" w:rsidRPr="00F748EF">
        <w:rPr>
          <w:lang w:val="sr-Cyrl-CS"/>
        </w:rPr>
        <w:t xml:space="preserve"> </w:t>
      </w:r>
      <w:r w:rsidR="000D3C54" w:rsidRPr="00D6761A">
        <w:rPr>
          <w:i/>
        </w:rPr>
        <w:t>Downlink</w:t>
      </w:r>
      <w:r w:rsidR="000D3C54">
        <w:rPr>
          <w:i/>
        </w:rPr>
        <w:t xml:space="preserve"> </w:t>
      </w:r>
      <w:r w:rsidR="000D3C54">
        <w:t>радио-фреквенцијских опсега.</w:t>
      </w:r>
      <w:r w:rsidR="0095488F">
        <w:t xml:space="preserve"> </w:t>
      </w:r>
    </w:p>
    <w:p w14:paraId="293FB7CC" w14:textId="77777777" w:rsidR="00BE2EE3" w:rsidRPr="00BE2EE3" w:rsidRDefault="00BE2EE3" w:rsidP="00D2527B">
      <w:pPr>
        <w:pStyle w:val="Heading2"/>
        <w:rPr>
          <w:lang w:val="sr-Cyrl-CS"/>
        </w:rPr>
      </w:pPr>
      <w:r w:rsidRPr="00A21F9B">
        <w:rPr>
          <w:lang w:val="sr-Cyrl-CS"/>
        </w:rPr>
        <w:t xml:space="preserve">Радио-фреквенцијски блокови формирају се спајањем више основних радио-фреквенцијских блокова </w:t>
      </w:r>
      <w:r w:rsidRPr="001672B3">
        <w:rPr>
          <w:lang w:val="sr-Cyrl-CS"/>
        </w:rPr>
        <w:t>(</w:t>
      </w:r>
      <w:r w:rsidRPr="001672B3">
        <w:t>n</w:t>
      </w:r>
      <w:r w:rsidRPr="001672B3">
        <w:rPr>
          <w:lang w:val="sr-Cyrl-CS"/>
        </w:rPr>
        <w:t xml:space="preserve"> </w:t>
      </w:r>
      <w:r w:rsidRPr="001672B3">
        <w:t>x</w:t>
      </w:r>
      <w:r w:rsidRPr="001672B3">
        <w:rPr>
          <w:lang w:val="sr-Cyrl-CS"/>
        </w:rPr>
        <w:t xml:space="preserve"> 5</w:t>
      </w:r>
      <w:r w:rsidRPr="001672B3">
        <w:t>MHz</w:t>
      </w:r>
      <w:r w:rsidRPr="001672B3">
        <w:rPr>
          <w:lang w:val="sr-Cyrl-CS"/>
        </w:rPr>
        <w:t>)</w:t>
      </w:r>
      <w:r w:rsidRPr="00A21F9B">
        <w:rPr>
          <w:lang w:val="sr-Cyrl-CS"/>
        </w:rPr>
        <w:t>. Радио-</w:t>
      </w:r>
      <w:r>
        <w:rPr>
          <w:lang w:val="sr-Cyrl-CS"/>
        </w:rPr>
        <w:t>ф</w:t>
      </w:r>
      <w:r w:rsidRPr="00A21F9B">
        <w:rPr>
          <w:lang w:val="sr-Cyrl-CS"/>
        </w:rPr>
        <w:t>реквенцијски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блокови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се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додељују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континуално</w:t>
      </w:r>
      <w:r w:rsidRPr="007F3BCB">
        <w:rPr>
          <w:lang w:val="sr-Latn-CS"/>
        </w:rPr>
        <w:t xml:space="preserve">, </w:t>
      </w:r>
      <w:r w:rsidRPr="00A21F9B">
        <w:rPr>
          <w:lang w:val="sr-Cyrl-CS"/>
        </w:rPr>
        <w:t>без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посебно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одређеног</w:t>
      </w:r>
      <w:r w:rsidRPr="007F3BCB">
        <w:rPr>
          <w:lang w:val="sr-Latn-CS"/>
        </w:rPr>
        <w:t xml:space="preserve"> </w:t>
      </w:r>
      <w:r w:rsidRPr="007F3BCB">
        <w:rPr>
          <w:lang w:val="sr-Cyrl-CS"/>
        </w:rPr>
        <w:t xml:space="preserve">спољашњег </w:t>
      </w:r>
      <w:r w:rsidRPr="00A21F9B">
        <w:rPr>
          <w:lang w:val="sr-Cyrl-CS"/>
        </w:rPr>
        <w:t>заштитног</w:t>
      </w:r>
      <w:r w:rsidRPr="007F3BCB">
        <w:rPr>
          <w:lang w:val="sr-Latn-CS"/>
        </w:rPr>
        <w:t xml:space="preserve"> </w:t>
      </w:r>
      <w:r w:rsidR="0047060B">
        <w:t>радио-</w:t>
      </w:r>
      <w:r w:rsidRPr="00A21F9B">
        <w:rPr>
          <w:lang w:val="sr-Cyrl-CS"/>
        </w:rPr>
        <w:t>фреквенцијског</w:t>
      </w:r>
      <w:r w:rsidRPr="007F3BCB">
        <w:rPr>
          <w:lang w:val="sr-Latn-CS"/>
        </w:rPr>
        <w:t xml:space="preserve"> </w:t>
      </w:r>
      <w:r w:rsidRPr="007F3BCB">
        <w:rPr>
          <w:lang w:val="sr-Cyrl-CS"/>
        </w:rPr>
        <w:t>размака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између радио-фреквенцијских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блокова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додељених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различитим</w:t>
      </w:r>
      <w:r w:rsidRPr="007F3BCB">
        <w:rPr>
          <w:lang w:val="sr-Latn-CS"/>
        </w:rPr>
        <w:t xml:space="preserve"> </w:t>
      </w:r>
      <w:r w:rsidRPr="00A21F9B">
        <w:rPr>
          <w:lang w:val="sr-Cyrl-CS"/>
        </w:rPr>
        <w:t>операторима</w:t>
      </w:r>
      <w:r w:rsidRPr="007F3BCB">
        <w:rPr>
          <w:lang w:val="sr-Latn-CS"/>
        </w:rPr>
        <w:t>.</w:t>
      </w:r>
    </w:p>
    <w:p w14:paraId="0C7AD02C" w14:textId="77777777" w:rsidR="007A0D13" w:rsidRDefault="007A0D13" w:rsidP="00D2527B">
      <w:pPr>
        <w:pStyle w:val="Heading2"/>
        <w:rPr>
          <w:b/>
          <w:bCs/>
        </w:rPr>
      </w:pPr>
      <w:r w:rsidRPr="00BE2E2A">
        <w:t xml:space="preserve">Распоред основних </w:t>
      </w:r>
      <w:r w:rsidR="00EA76B6">
        <w:t>радио-</w:t>
      </w:r>
      <w:r w:rsidRPr="00BE2E2A">
        <w:t>фрекве</w:t>
      </w:r>
      <w:r w:rsidR="00D0588B" w:rsidRPr="00BE2E2A">
        <w:t>нцијских блокова приказан је у Табели</w:t>
      </w:r>
      <w:r w:rsidRPr="00BE2E2A">
        <w:t xml:space="preserve"> 1.</w:t>
      </w:r>
      <w:r w:rsidR="0095488F">
        <w:t xml:space="preserve"> </w:t>
      </w:r>
    </w:p>
    <w:p w14:paraId="5E90F143" w14:textId="77777777" w:rsidR="00013E7E" w:rsidRDefault="00013E7E" w:rsidP="00D2527B">
      <w:pPr>
        <w:pStyle w:val="Heading2"/>
      </w:pPr>
    </w:p>
    <w:p w14:paraId="798489E7" w14:textId="77777777" w:rsidR="00013E7E" w:rsidRDefault="00013E7E" w:rsidP="00D2527B">
      <w:pPr>
        <w:pStyle w:val="Heading2"/>
      </w:pPr>
    </w:p>
    <w:p w14:paraId="6CAB58B4" w14:textId="77777777" w:rsidR="00013E7E" w:rsidRDefault="00013E7E" w:rsidP="00D2527B">
      <w:pPr>
        <w:pStyle w:val="Heading2"/>
      </w:pPr>
    </w:p>
    <w:p w14:paraId="0476DFEA" w14:textId="77777777" w:rsidR="00013E7E" w:rsidRDefault="00013E7E" w:rsidP="00D2527B">
      <w:pPr>
        <w:pStyle w:val="Heading2"/>
      </w:pPr>
    </w:p>
    <w:p w14:paraId="5F78C47C" w14:textId="77777777" w:rsidR="00094262" w:rsidRPr="00892BD2" w:rsidRDefault="008A27B8" w:rsidP="00362364">
      <w:pPr>
        <w:jc w:val="center"/>
        <w:rPr>
          <w:rFonts w:eastAsia="Times New Roman"/>
          <w:i/>
          <w:sz w:val="22"/>
          <w:szCs w:val="22"/>
        </w:rPr>
      </w:pPr>
      <w:proofErr w:type="spellStart"/>
      <w:r w:rsidRPr="00892BD2">
        <w:rPr>
          <w:rFonts w:eastAsia="Times New Roman"/>
          <w:b/>
          <w:i/>
          <w:sz w:val="22"/>
          <w:szCs w:val="22"/>
        </w:rPr>
        <w:lastRenderedPageBreak/>
        <w:t>Табела</w:t>
      </w:r>
      <w:proofErr w:type="spellEnd"/>
      <w:r w:rsidRPr="00892BD2">
        <w:rPr>
          <w:rFonts w:eastAsia="Times New Roman"/>
          <w:b/>
          <w:i/>
          <w:sz w:val="22"/>
          <w:szCs w:val="22"/>
        </w:rPr>
        <w:t xml:space="preserve"> 1. Распоред основних </w:t>
      </w:r>
      <w:r w:rsidR="00EA76B6" w:rsidRPr="00892BD2">
        <w:rPr>
          <w:rFonts w:eastAsia="Times New Roman"/>
          <w:b/>
          <w:i/>
          <w:sz w:val="22"/>
          <w:szCs w:val="22"/>
        </w:rPr>
        <w:t>радио-</w:t>
      </w:r>
      <w:r w:rsidRPr="00892BD2">
        <w:rPr>
          <w:rFonts w:eastAsia="Times New Roman"/>
          <w:b/>
          <w:i/>
          <w:sz w:val="22"/>
          <w:szCs w:val="22"/>
        </w:rPr>
        <w:t xml:space="preserve">фреквенцијских блокова у </w:t>
      </w:r>
      <w:r w:rsidR="00AC6359" w:rsidRPr="00892BD2">
        <w:rPr>
          <w:rFonts w:eastAsia="Times New Roman"/>
          <w:b/>
          <w:i/>
          <w:sz w:val="22"/>
          <w:szCs w:val="22"/>
        </w:rPr>
        <w:t xml:space="preserve">радио-фреквенцијском </w:t>
      </w:r>
      <w:r w:rsidRPr="00892BD2">
        <w:rPr>
          <w:rFonts w:eastAsia="Times New Roman"/>
          <w:b/>
          <w:i/>
          <w:sz w:val="22"/>
          <w:szCs w:val="22"/>
        </w:rPr>
        <w:t>опсегу</w:t>
      </w:r>
    </w:p>
    <w:p w14:paraId="3716B6E5" w14:textId="77777777" w:rsidR="00892BD2" w:rsidRDefault="008A27B8" w:rsidP="00362364">
      <w:pPr>
        <w:jc w:val="center"/>
        <w:rPr>
          <w:rFonts w:eastAsia="Times New Roman"/>
          <w:i/>
          <w:sz w:val="22"/>
          <w:szCs w:val="22"/>
        </w:rPr>
      </w:pPr>
      <w:r w:rsidRPr="00892BD2">
        <w:rPr>
          <w:rFonts w:eastAsia="Times New Roman"/>
          <w:b/>
          <w:i/>
          <w:sz w:val="22"/>
          <w:szCs w:val="22"/>
        </w:rPr>
        <w:t>694-790 MHz</w:t>
      </w:r>
    </w:p>
    <w:tbl>
      <w:tblPr>
        <w:tblW w:w="10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93"/>
        <w:gridCol w:w="425"/>
        <w:gridCol w:w="567"/>
        <w:gridCol w:w="425"/>
        <w:gridCol w:w="214"/>
        <w:gridCol w:w="422"/>
        <w:gridCol w:w="428"/>
        <w:gridCol w:w="709"/>
        <w:gridCol w:w="495"/>
        <w:gridCol w:w="426"/>
        <w:gridCol w:w="425"/>
        <w:gridCol w:w="850"/>
        <w:gridCol w:w="497"/>
        <w:gridCol w:w="426"/>
        <w:gridCol w:w="425"/>
        <w:gridCol w:w="425"/>
        <w:gridCol w:w="425"/>
        <w:gridCol w:w="426"/>
        <w:gridCol w:w="827"/>
      </w:tblGrid>
      <w:tr w:rsidR="00892BD2" w:rsidRPr="00BE2E2A" w14:paraId="0C182589" w14:textId="77777777" w:rsidTr="00BA57BC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2D9A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694-703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78E9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703-708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0682B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708-713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93E8B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713-718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13D53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718-723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A8965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5C547" w14:textId="77777777" w:rsidR="00892BD2" w:rsidRPr="00BE2E2A" w:rsidRDefault="00892BD2" w:rsidP="00BA57BC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723-728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E099D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728-733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39731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733-738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BED65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738-743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F172E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743-748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9113C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748-753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6F640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753-758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1CBB8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758-763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1CDA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763-768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C83DB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768-773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B25EE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773-778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ADCDF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778-783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846CE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783-788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26F9" w14:textId="77777777" w:rsidR="00892BD2" w:rsidRDefault="00892BD2" w:rsidP="00D0588B">
            <w:pPr>
              <w:rPr>
                <w:b/>
                <w:color w:val="000000"/>
                <w:sz w:val="15"/>
                <w:szCs w:val="15"/>
              </w:rPr>
            </w:pPr>
          </w:p>
          <w:p w14:paraId="4E210C00" w14:textId="77777777" w:rsidR="00892BD2" w:rsidRDefault="00892BD2" w:rsidP="00D0588B">
            <w:pPr>
              <w:rPr>
                <w:b/>
                <w:color w:val="000000"/>
                <w:sz w:val="15"/>
                <w:szCs w:val="15"/>
              </w:rPr>
            </w:pPr>
          </w:p>
          <w:p w14:paraId="64D64B6B" w14:textId="77777777" w:rsidR="00892BD2" w:rsidRPr="00BE2E2A" w:rsidRDefault="00892BD2" w:rsidP="00D0588B">
            <w:pPr>
              <w:rPr>
                <w:b/>
                <w:color w:val="000000"/>
                <w:sz w:val="15"/>
                <w:szCs w:val="15"/>
                <w:lang w:val="en-GB"/>
              </w:rPr>
            </w:pPr>
            <w:r w:rsidRPr="00BE2E2A">
              <w:rPr>
                <w:b/>
                <w:color w:val="000000"/>
                <w:sz w:val="15"/>
                <w:szCs w:val="15"/>
                <w:lang w:val="en-GB"/>
              </w:rPr>
              <w:t>788-791</w:t>
            </w:r>
          </w:p>
        </w:tc>
      </w:tr>
      <w:tr w:rsidR="00C86EB7" w:rsidRPr="00BE2E2A" w14:paraId="4D3CFC5B" w14:textId="77777777" w:rsidTr="00BA57BC">
        <w:trPr>
          <w:trHeight w:val="7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4AE32" w14:textId="77777777" w:rsidR="00C86EB7" w:rsidRDefault="00C86EB7" w:rsidP="00D0588B">
            <w:pPr>
              <w:jc w:val="center"/>
              <w:rPr>
                <w:color w:val="000000"/>
                <w:sz w:val="16"/>
                <w:szCs w:val="16"/>
              </w:rPr>
            </w:pPr>
            <w:r w:rsidRPr="000A722B">
              <w:rPr>
                <w:color w:val="000000"/>
                <w:sz w:val="16"/>
                <w:szCs w:val="16"/>
              </w:rPr>
              <w:t>Заштитни радио-фрекве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14:paraId="527B7B32" w14:textId="77777777" w:rsidR="00C86EB7" w:rsidRPr="00A07012" w:rsidRDefault="00C86EB7" w:rsidP="000A722B">
            <w:pPr>
              <w:jc w:val="center"/>
              <w:rPr>
                <w:color w:val="000000"/>
                <w:sz w:val="16"/>
                <w:szCs w:val="16"/>
              </w:rPr>
            </w:pPr>
            <w:r w:rsidRPr="000A722B">
              <w:rPr>
                <w:color w:val="000000"/>
                <w:sz w:val="16"/>
                <w:szCs w:val="16"/>
              </w:rPr>
              <w:t>нцијски опсег</w:t>
            </w:r>
          </w:p>
          <w:p w14:paraId="66320E7E" w14:textId="77777777" w:rsidR="00C86EB7" w:rsidRPr="00BE2E2A" w:rsidRDefault="00C86EB7" w:rsidP="00D0588B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</w:tcPr>
          <w:p w14:paraId="2962F61B" w14:textId="77777777" w:rsidR="00C86EB7" w:rsidRPr="00892BD2" w:rsidRDefault="00C86EB7" w:rsidP="00D0588B">
            <w:pPr>
              <w:jc w:val="center"/>
              <w:rPr>
                <w:b/>
                <w:i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48826B9" w14:textId="77777777" w:rsidR="00C86EB7" w:rsidRPr="00A07012" w:rsidRDefault="00C86EB7" w:rsidP="00D058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012">
              <w:rPr>
                <w:b/>
                <w:i/>
                <w:color w:val="000000"/>
                <w:sz w:val="22"/>
                <w:szCs w:val="22"/>
                <w:lang w:val="en-GB"/>
              </w:rPr>
              <w:t>Uplink</w:t>
            </w:r>
            <w:r w:rsidRPr="00A07012">
              <w:rPr>
                <w:b/>
                <w:color w:val="000000"/>
                <w:sz w:val="22"/>
                <w:szCs w:val="22"/>
              </w:rPr>
              <w:t xml:space="preserve"> – предајни за терминалну станицу</w:t>
            </w:r>
          </w:p>
          <w:p w14:paraId="06427AE6" w14:textId="77777777" w:rsidR="00C86EB7" w:rsidRPr="00AC6359" w:rsidRDefault="00C86EB7" w:rsidP="00D0588B">
            <w:pPr>
              <w:rPr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718E6A" w14:textId="77777777" w:rsidR="00C86EB7" w:rsidRPr="005C5564" w:rsidRDefault="00C86EB7" w:rsidP="00D058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Размак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vAlign w:val="center"/>
          </w:tcPr>
          <w:p w14:paraId="02714F94" w14:textId="77777777" w:rsidR="00C86EB7" w:rsidRPr="00BE2E2A" w:rsidRDefault="00C86EB7" w:rsidP="00D0588B">
            <w:pPr>
              <w:jc w:val="center"/>
              <w:rPr>
                <w:color w:val="000000"/>
                <w:lang w:val="en-GB"/>
              </w:rPr>
            </w:pPr>
            <w:r w:rsidRPr="00A07012">
              <w:rPr>
                <w:color w:val="000000"/>
                <w:sz w:val="22"/>
                <w:szCs w:val="22"/>
                <w:lang w:val="en-GB"/>
              </w:rPr>
              <w:t>SDL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0696CA" w14:textId="77777777" w:rsidR="00C86EB7" w:rsidRPr="00BA57BC" w:rsidRDefault="00C86EB7" w:rsidP="00D0588B">
            <w:pPr>
              <w:jc w:val="center"/>
              <w:rPr>
                <w:color w:val="000000" w:themeColor="text1"/>
                <w:lang w:val="en-GB"/>
              </w:rPr>
            </w:pPr>
            <w:r w:rsidRPr="00BA57BC">
              <w:rPr>
                <w:color w:val="000000" w:themeColor="text1"/>
                <w:sz w:val="16"/>
                <w:szCs w:val="16"/>
              </w:rPr>
              <w:t>Размак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14:paraId="27D39BCD" w14:textId="77777777" w:rsidR="00C86EB7" w:rsidRPr="00A07012" w:rsidRDefault="00C86EB7" w:rsidP="00D058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012">
              <w:rPr>
                <w:b/>
                <w:i/>
                <w:color w:val="000000"/>
                <w:sz w:val="22"/>
                <w:szCs w:val="22"/>
                <w:lang w:val="en-GB"/>
              </w:rPr>
              <w:t>Downlink</w:t>
            </w:r>
            <w:r w:rsidRPr="00A07012">
              <w:rPr>
                <w:b/>
                <w:color w:val="000000"/>
                <w:sz w:val="22"/>
                <w:szCs w:val="22"/>
              </w:rPr>
              <w:t xml:space="preserve"> – предајни за базну станицу</w:t>
            </w:r>
          </w:p>
          <w:p w14:paraId="7C0CDED6" w14:textId="77777777" w:rsidR="00C86EB7" w:rsidRPr="00BE2E2A" w:rsidRDefault="00C86EB7" w:rsidP="00D0588B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CDB001" w14:textId="77777777" w:rsidR="00C86EB7" w:rsidRPr="00BE2E2A" w:rsidRDefault="00C86EB7" w:rsidP="00D0588B">
            <w:pPr>
              <w:jc w:val="center"/>
              <w:rPr>
                <w:color w:val="000000"/>
                <w:sz w:val="14"/>
                <w:lang w:val="en-GB"/>
              </w:rPr>
            </w:pPr>
          </w:p>
          <w:p w14:paraId="31E5DE5F" w14:textId="77777777" w:rsidR="00C86EB7" w:rsidRDefault="00C86EB7" w:rsidP="00D0588B">
            <w:pPr>
              <w:jc w:val="center"/>
              <w:rPr>
                <w:color w:val="000000"/>
                <w:sz w:val="16"/>
                <w:szCs w:val="16"/>
              </w:rPr>
            </w:pPr>
            <w:r w:rsidRPr="00BE2E2A">
              <w:rPr>
                <w:color w:val="000000"/>
                <w:sz w:val="16"/>
                <w:szCs w:val="16"/>
              </w:rPr>
              <w:t xml:space="preserve">Заштитни </w:t>
            </w:r>
            <w:r>
              <w:rPr>
                <w:color w:val="000000"/>
                <w:sz w:val="16"/>
                <w:szCs w:val="16"/>
              </w:rPr>
              <w:t>радио-фрекве-</w:t>
            </w:r>
          </w:p>
          <w:p w14:paraId="5A90AB57" w14:textId="77777777" w:rsidR="00C86EB7" w:rsidRPr="00A07012" w:rsidRDefault="00C86EB7" w:rsidP="000A7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нцијски </w:t>
            </w:r>
            <w:r w:rsidRPr="00BE2E2A">
              <w:rPr>
                <w:color w:val="000000"/>
                <w:sz w:val="16"/>
                <w:szCs w:val="16"/>
              </w:rPr>
              <w:t>опсег</w:t>
            </w:r>
          </w:p>
          <w:p w14:paraId="7B0A17B9" w14:textId="77777777" w:rsidR="00C86EB7" w:rsidRPr="00BE2E2A" w:rsidRDefault="00C86EB7" w:rsidP="00D0588B">
            <w:pPr>
              <w:jc w:val="center"/>
              <w:rPr>
                <w:color w:val="000000"/>
                <w:lang w:val="en-GB"/>
              </w:rPr>
            </w:pPr>
          </w:p>
        </w:tc>
      </w:tr>
      <w:tr w:rsidR="00C7393E" w:rsidRPr="00BE2E2A" w14:paraId="6E2D5F87" w14:textId="77777777" w:rsidTr="00BA57BC">
        <w:trPr>
          <w:trHeight w:val="3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7AA1B7B" w14:textId="77777777" w:rsidR="00C7393E" w:rsidRPr="00BE2E2A" w:rsidRDefault="00C7393E" w:rsidP="00D0588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>9 MHz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D1128" w14:textId="77777777" w:rsidR="00C7393E" w:rsidRPr="00BE2E2A" w:rsidRDefault="00C7393E" w:rsidP="00D0588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8B7EC59" w14:textId="77777777" w:rsidR="00C7393E" w:rsidRDefault="00C7393E" w:rsidP="00D05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30 MHz </w:t>
            </w:r>
          </w:p>
          <w:p w14:paraId="12F2CA62" w14:textId="77777777" w:rsidR="00C7393E" w:rsidRPr="00BE2E2A" w:rsidRDefault="00C7393E" w:rsidP="00D0588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(6 </w:t>
            </w:r>
            <w:r w:rsidRPr="00BE2E2A">
              <w:rPr>
                <w:b/>
                <w:color w:val="000000"/>
                <w:sz w:val="20"/>
                <w:szCs w:val="20"/>
              </w:rPr>
              <w:t>блокова од</w:t>
            </w: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 5 MHz)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74ABFFC" w14:textId="77777777" w:rsidR="00C7393E" w:rsidRPr="00BE2E2A" w:rsidRDefault="00C7393E" w:rsidP="00D0588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>5 MHz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9B3EABB" w14:textId="77777777" w:rsidR="00C7393E" w:rsidRDefault="00C7393E" w:rsidP="00BE2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 MHz </w:t>
            </w:r>
          </w:p>
          <w:p w14:paraId="6640ED03" w14:textId="77777777" w:rsidR="00C7393E" w:rsidRPr="00BE2E2A" w:rsidRDefault="00C7393E" w:rsidP="00BE2E2A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>(</w:t>
            </w:r>
            <w:r w:rsidRPr="00BE2E2A">
              <w:rPr>
                <w:b/>
                <w:color w:val="000000"/>
                <w:sz w:val="20"/>
                <w:szCs w:val="20"/>
              </w:rPr>
              <w:t xml:space="preserve">0 до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BE2E2A">
              <w:rPr>
                <w:b/>
                <w:color w:val="000000"/>
                <w:sz w:val="20"/>
                <w:szCs w:val="20"/>
              </w:rPr>
              <w:t xml:space="preserve"> блока од</w:t>
            </w: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 5 MHz)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16733" w14:textId="77777777" w:rsidR="00C7393E" w:rsidRPr="00BE2E2A" w:rsidRDefault="00C7393E" w:rsidP="00BE2E2A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>5 MHz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3710AEE" w14:textId="77777777" w:rsidR="00C7393E" w:rsidRDefault="00C7393E" w:rsidP="00BE2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30 MHz </w:t>
            </w:r>
          </w:p>
          <w:p w14:paraId="52BD52E2" w14:textId="77777777" w:rsidR="00C7393E" w:rsidRPr="00BE2E2A" w:rsidRDefault="00C7393E" w:rsidP="00BE2E2A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(6 </w:t>
            </w:r>
            <w:r w:rsidRPr="00BE2E2A">
              <w:rPr>
                <w:b/>
                <w:color w:val="000000"/>
                <w:sz w:val="20"/>
                <w:szCs w:val="20"/>
              </w:rPr>
              <w:t>блокова од</w:t>
            </w: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 xml:space="preserve"> 5 MHz)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17CD8" w14:textId="77777777" w:rsidR="00C7393E" w:rsidRDefault="00C7393E" w:rsidP="00D058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3BF5504" w14:textId="77777777" w:rsidR="00C7393E" w:rsidRPr="00BE2E2A" w:rsidRDefault="00C7393E" w:rsidP="00D0588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BE2E2A">
              <w:rPr>
                <w:b/>
                <w:color w:val="000000"/>
                <w:sz w:val="20"/>
                <w:szCs w:val="20"/>
                <w:lang w:val="en-GB"/>
              </w:rPr>
              <w:t>3 MHz</w:t>
            </w:r>
          </w:p>
        </w:tc>
      </w:tr>
    </w:tbl>
    <w:p w14:paraId="5DB6BF84" w14:textId="77777777" w:rsidR="0095488F" w:rsidRDefault="0095488F" w:rsidP="00D2527B">
      <w:pPr>
        <w:pStyle w:val="Heading2"/>
      </w:pPr>
      <w:proofErr w:type="spellStart"/>
      <w:r w:rsidRPr="00BA57BC">
        <w:t>Делови</w:t>
      </w:r>
      <w:proofErr w:type="spellEnd"/>
      <w:r w:rsidRPr="00BA57BC">
        <w:t xml:space="preserve"> </w:t>
      </w:r>
      <w:proofErr w:type="spellStart"/>
      <w:r w:rsidRPr="00BA57BC">
        <w:t>заштитних</w:t>
      </w:r>
      <w:proofErr w:type="spellEnd"/>
      <w:r w:rsidRPr="00BA57BC">
        <w:t xml:space="preserve"> </w:t>
      </w:r>
      <w:proofErr w:type="spellStart"/>
      <w:r w:rsidRPr="00BA57BC">
        <w:t>радио-фреквенцијских</w:t>
      </w:r>
      <w:proofErr w:type="spellEnd"/>
      <w:r w:rsidRPr="00BA57BC">
        <w:t xml:space="preserve"> </w:t>
      </w:r>
      <w:proofErr w:type="spellStart"/>
      <w:proofErr w:type="gramStart"/>
      <w:r w:rsidRPr="00BA57BC">
        <w:t>опсега</w:t>
      </w:r>
      <w:proofErr w:type="spellEnd"/>
      <w:r w:rsidRPr="00BA57BC">
        <w:t xml:space="preserve">  и</w:t>
      </w:r>
      <w:proofErr w:type="gramEnd"/>
      <w:r w:rsidRPr="00BA57BC">
        <w:t xml:space="preserve"> </w:t>
      </w:r>
      <w:proofErr w:type="spellStart"/>
      <w:r w:rsidRPr="00BA57BC">
        <w:t>размака</w:t>
      </w:r>
      <w:proofErr w:type="spellEnd"/>
      <w:r w:rsidRPr="00BA57BC">
        <w:t>: 698-703/</w:t>
      </w:r>
      <w:r>
        <w:t>753-758 М</w:t>
      </w:r>
      <w:r>
        <w:rPr>
          <w:lang w:val="en-GB"/>
        </w:rPr>
        <w:t xml:space="preserve">Hz </w:t>
      </w:r>
      <w:r>
        <w:t>и 733-736/788-791 М</w:t>
      </w:r>
      <w:r>
        <w:rPr>
          <w:lang w:val="en-GB"/>
        </w:rPr>
        <w:t xml:space="preserve">Hz </w:t>
      </w:r>
      <w:proofErr w:type="spellStart"/>
      <w:r w:rsidR="001A6DB1">
        <w:t>на</w:t>
      </w:r>
      <w:proofErr w:type="spellEnd"/>
      <w:r w:rsidR="001A6DB1">
        <w:t xml:space="preserve"> </w:t>
      </w:r>
      <w:proofErr w:type="spellStart"/>
      <w:r w:rsidR="001A6DB1">
        <w:t>основу</w:t>
      </w:r>
      <w:proofErr w:type="spellEnd"/>
      <w:r w:rsidR="001A6DB1">
        <w:t xml:space="preserve"> </w:t>
      </w:r>
      <w:proofErr w:type="spellStart"/>
      <w:r w:rsidR="001A6DB1">
        <w:t>Плана</w:t>
      </w:r>
      <w:proofErr w:type="spellEnd"/>
      <w:r w:rsidR="001A6DB1">
        <w:t xml:space="preserve"> </w:t>
      </w:r>
      <w:proofErr w:type="spellStart"/>
      <w:r w:rsidR="001A6DB1">
        <w:t>намене</w:t>
      </w:r>
      <w:proofErr w:type="spellEnd"/>
      <w:r w:rsidR="001A6DB1">
        <w:t xml:space="preserve"> </w:t>
      </w:r>
      <w:proofErr w:type="spellStart"/>
      <w:r w:rsidR="00D2527B">
        <w:t>планирани</w:t>
      </w:r>
      <w:proofErr w:type="spellEnd"/>
      <w:r w:rsidR="00D2527B">
        <w:t xml:space="preserve"> </w:t>
      </w:r>
      <w:proofErr w:type="spellStart"/>
      <w:r w:rsidR="001A6DB1">
        <w:t>су</w:t>
      </w:r>
      <w:proofErr w:type="spellEnd"/>
      <w:r w:rsidR="001A6DB1">
        <w:t xml:space="preserve"> </w:t>
      </w:r>
      <w:proofErr w:type="spellStart"/>
      <w:r w:rsidR="00D2527B">
        <w:t>за</w:t>
      </w:r>
      <w:proofErr w:type="spellEnd"/>
      <w:r w:rsidR="00D2527B">
        <w:t xml:space="preserve"> </w:t>
      </w:r>
      <w:proofErr w:type="spellStart"/>
      <w:r w:rsidR="00D2527B">
        <w:t>коришћење</w:t>
      </w:r>
      <w:proofErr w:type="spellEnd"/>
      <w:r w:rsidR="00D2527B">
        <w:t xml:space="preserve"> </w:t>
      </w:r>
      <w:proofErr w:type="spellStart"/>
      <w:r w:rsidR="00D2527B">
        <w:t>за</w:t>
      </w:r>
      <w:proofErr w:type="spellEnd"/>
      <w:r>
        <w:t xml:space="preserve"> </w:t>
      </w:r>
      <w:r>
        <w:rPr>
          <w:lang w:val="en-GB"/>
        </w:rPr>
        <w:t>BB-</w:t>
      </w:r>
      <w:r w:rsidRPr="00BA57BC">
        <w:rPr>
          <w:lang w:val="en-GB"/>
        </w:rPr>
        <w:t>PPDR (</w:t>
      </w:r>
      <w:proofErr w:type="spellStart"/>
      <w:r w:rsidRPr="00BA57BC">
        <w:rPr>
          <w:i/>
          <w:lang w:val="en-GB"/>
        </w:rPr>
        <w:t>BroadBand</w:t>
      </w:r>
      <w:proofErr w:type="spellEnd"/>
      <w:r w:rsidRPr="00BA57BC">
        <w:rPr>
          <w:i/>
          <w:lang w:val="en-GB"/>
        </w:rPr>
        <w:t xml:space="preserve"> -</w:t>
      </w:r>
      <w:r>
        <w:rPr>
          <w:lang w:val="en-GB"/>
        </w:rPr>
        <w:t xml:space="preserve"> </w:t>
      </w:r>
      <w:r w:rsidRPr="00BA57BC">
        <w:rPr>
          <w:i/>
        </w:rPr>
        <w:t>Public Protection and Disaster Relief</w:t>
      </w:r>
      <w:r w:rsidRPr="00BA57BC">
        <w:t>)</w:t>
      </w:r>
      <w:r w:rsidR="00BA57BC">
        <w:t>.</w:t>
      </w:r>
    </w:p>
    <w:p w14:paraId="46DE265C" w14:textId="77777777" w:rsidR="007B61B9" w:rsidRPr="007B61B9" w:rsidRDefault="007B61B9" w:rsidP="00D2527B">
      <w:pPr>
        <w:pStyle w:val="Heading2"/>
      </w:pPr>
    </w:p>
    <w:p w14:paraId="5372777B" w14:textId="77777777" w:rsidR="00581A79" w:rsidRPr="00362364" w:rsidRDefault="00136BB0" w:rsidP="00C670B5">
      <w:pPr>
        <w:pStyle w:val="Heading2"/>
        <w:numPr>
          <w:ilvl w:val="0"/>
          <w:numId w:val="5"/>
        </w:numPr>
        <w:jc w:val="center"/>
        <w:rPr>
          <w:b/>
          <w:bCs/>
          <w:lang w:val="sr-Cyrl-CS"/>
        </w:rPr>
      </w:pPr>
      <w:r w:rsidRPr="00362364">
        <w:rPr>
          <w:b/>
          <w:lang w:val="sr-Cyrl-CS"/>
        </w:rPr>
        <w:t>Технички услови за коришћење радио-фреквенција</w:t>
      </w:r>
    </w:p>
    <w:p w14:paraId="695E7E47" w14:textId="77777777" w:rsidR="003C131D" w:rsidRPr="003B288F" w:rsidRDefault="00EA76B6" w:rsidP="003B288F">
      <w:pPr>
        <w:ind w:firstLine="450"/>
        <w:jc w:val="both"/>
        <w:rPr>
          <w:rFonts w:eastAsia="Times New Roman"/>
        </w:rPr>
      </w:pPr>
      <w:r w:rsidRPr="00EA76B6">
        <w:rPr>
          <w:rFonts w:eastAsia="Times New Roman"/>
        </w:rPr>
        <w:t>У циљу избегавања штетних сметњи између корисника радио-фреквенци</w:t>
      </w:r>
      <w:r w:rsidR="00AC6359">
        <w:rPr>
          <w:rFonts w:eastAsia="Times New Roman"/>
        </w:rPr>
        <w:t>ј</w:t>
      </w:r>
      <w:r w:rsidRPr="00EA76B6">
        <w:rPr>
          <w:rFonts w:eastAsia="Times New Roman"/>
        </w:rPr>
        <w:t>ског спектра, технички услови за базне и терминалне радио станице</w:t>
      </w:r>
      <w:r w:rsidRPr="00EA76B6">
        <w:rPr>
          <w:rFonts w:eastAsia="Times New Roman"/>
          <w:lang w:val="sr-Cyrl-CS"/>
        </w:rPr>
        <w:t xml:space="preserve"> у радио-фреквенцијск</w:t>
      </w:r>
      <w:r w:rsidRPr="00EA76B6">
        <w:rPr>
          <w:rFonts w:eastAsia="Times New Roman"/>
        </w:rPr>
        <w:t>oм</w:t>
      </w:r>
      <w:r w:rsidRPr="00EA76B6">
        <w:rPr>
          <w:rFonts w:eastAsia="Times New Roman"/>
          <w:lang w:val="sr-Cyrl-CS"/>
        </w:rPr>
        <w:t xml:space="preserve"> опсегу </w:t>
      </w:r>
      <w:r>
        <w:rPr>
          <w:rFonts w:eastAsia="Times New Roman"/>
        </w:rPr>
        <w:t>694-790</w:t>
      </w:r>
      <w:r w:rsidRPr="00EA76B6">
        <w:rPr>
          <w:rFonts w:eastAsia="Times New Roman"/>
          <w:lang w:val="sr-Cyrl-CS"/>
        </w:rPr>
        <w:t xml:space="preserve"> </w:t>
      </w:r>
      <w:r w:rsidRPr="00EA76B6">
        <w:rPr>
          <w:rFonts w:eastAsia="Times New Roman"/>
          <w:lang w:val="sr-Latn-CS"/>
        </w:rPr>
        <w:t>MHz</w:t>
      </w:r>
      <w:r w:rsidRPr="00EA76B6">
        <w:rPr>
          <w:rFonts w:eastAsia="Times New Roman"/>
          <w:lang w:val="sr-Cyrl-CS"/>
        </w:rPr>
        <w:t xml:space="preserve"> </w:t>
      </w:r>
      <w:r w:rsidRPr="00EA76B6">
        <w:rPr>
          <w:rFonts w:eastAsia="Times New Roman"/>
        </w:rPr>
        <w:t>утврђе</w:t>
      </w:r>
      <w:r w:rsidRPr="00EA76B6">
        <w:rPr>
          <w:rFonts w:eastAsia="Times New Roman"/>
          <w:lang w:val="sr-Cyrl-CS"/>
        </w:rPr>
        <w:t xml:space="preserve">ни су на основу спектралне маске на ивици радио-фреквенцијског блока - </w:t>
      </w:r>
      <w:r w:rsidRPr="00EA76B6">
        <w:rPr>
          <w:rFonts w:eastAsia="Times New Roman"/>
          <w:iCs/>
          <w:lang w:val="sr-Latn-CS"/>
        </w:rPr>
        <w:t>BEM (</w:t>
      </w:r>
      <w:r w:rsidRPr="00EA76B6">
        <w:rPr>
          <w:rFonts w:eastAsia="Times New Roman"/>
          <w:i/>
          <w:iCs/>
          <w:lang w:val="sr-Latn-CS"/>
        </w:rPr>
        <w:t>block edge mask</w:t>
      </w:r>
      <w:r w:rsidRPr="00EA76B6">
        <w:rPr>
          <w:rFonts w:eastAsia="Times New Roman"/>
          <w:iCs/>
          <w:lang w:val="sr-Latn-CS"/>
        </w:rPr>
        <w:t>)</w:t>
      </w:r>
      <w:r w:rsidRPr="00EA76B6">
        <w:rPr>
          <w:rFonts w:eastAsia="Times New Roman"/>
          <w:iCs/>
        </w:rPr>
        <w:t>.</w:t>
      </w:r>
      <w:r w:rsidRPr="00EA76B6">
        <w:rPr>
          <w:rFonts w:eastAsia="Times New Roman"/>
          <w:iCs/>
          <w:lang w:val="sr-Latn-CS"/>
        </w:rPr>
        <w:t xml:space="preserve"> BEM</w:t>
      </w:r>
      <w:r w:rsidRPr="00EA76B6">
        <w:rPr>
          <w:rFonts w:eastAsia="Times New Roman"/>
          <w:iCs/>
        </w:rPr>
        <w:t xml:space="preserve"> се састоји од компоненти унутар и изван додељеног радио-фреквенцијског блока, које одређују дозвољене нивое радио-емисије. </w:t>
      </w:r>
      <w:r w:rsidR="00576132" w:rsidRPr="00576132">
        <w:rPr>
          <w:rFonts w:eastAsia="Times New Roman"/>
          <w:iCs/>
          <w:lang w:val="sr-Latn-CS"/>
        </w:rPr>
        <w:t xml:space="preserve"> </w:t>
      </w:r>
    </w:p>
    <w:p w14:paraId="691F4667" w14:textId="77777777" w:rsidR="00D52B05" w:rsidRDefault="00D52B05">
      <w:pPr>
        <w:ind w:firstLine="450"/>
        <w:jc w:val="both"/>
        <w:rPr>
          <w:rFonts w:eastAsia="Times New Roman"/>
          <w:iCs/>
        </w:rPr>
      </w:pPr>
    </w:p>
    <w:p w14:paraId="6FDCCABC" w14:textId="77777777" w:rsidR="0054792B" w:rsidRPr="00F0183F" w:rsidRDefault="0054792B" w:rsidP="00C670B5">
      <w:pPr>
        <w:ind w:firstLine="450"/>
        <w:jc w:val="center"/>
        <w:rPr>
          <w:rFonts w:eastAsia="Times New Roman"/>
          <w:b/>
          <w:iCs/>
        </w:rPr>
      </w:pPr>
      <w:r w:rsidRPr="00F0183F">
        <w:rPr>
          <w:rFonts w:eastAsia="Times New Roman"/>
          <w:b/>
          <w:iCs/>
        </w:rPr>
        <w:t>3.1</w:t>
      </w:r>
      <w:r>
        <w:rPr>
          <w:rFonts w:eastAsia="Times New Roman"/>
          <w:b/>
          <w:iCs/>
        </w:rPr>
        <w:t>.</w:t>
      </w:r>
      <w:r w:rsidRPr="00F0183F">
        <w:rPr>
          <w:rFonts w:eastAsia="Times New Roman"/>
          <w:b/>
          <w:iCs/>
        </w:rPr>
        <w:t xml:space="preserve"> Базна станица</w:t>
      </w:r>
    </w:p>
    <w:p w14:paraId="045A8F07" w14:textId="77777777" w:rsidR="0054792B" w:rsidRDefault="0054792B">
      <w:pPr>
        <w:ind w:firstLine="450"/>
        <w:jc w:val="both"/>
        <w:rPr>
          <w:rFonts w:eastAsia="Times New Roman"/>
          <w:iCs/>
        </w:rPr>
      </w:pPr>
    </w:p>
    <w:p w14:paraId="212DB56B" w14:textId="77777777" w:rsidR="00FA5560" w:rsidRDefault="00927CC8">
      <w:pPr>
        <w:ind w:firstLine="450"/>
        <w:jc w:val="both"/>
        <w:rPr>
          <w:rFonts w:eastAsia="Times New Roman"/>
          <w:iCs/>
        </w:rPr>
      </w:pPr>
      <w:r>
        <w:rPr>
          <w:rFonts w:eastAsia="Times New Roman"/>
          <w:iCs/>
          <w:lang w:val="sr-Latn-CS"/>
        </w:rPr>
        <w:t>E</w:t>
      </w:r>
      <w:r w:rsidR="00FA5560">
        <w:rPr>
          <w:rFonts w:eastAsia="Times New Roman"/>
          <w:iCs/>
        </w:rPr>
        <w:t>лементи</w:t>
      </w:r>
      <w:r w:rsidR="003D1547">
        <w:rPr>
          <w:rFonts w:eastAsia="Times New Roman"/>
          <w:iCs/>
        </w:rPr>
        <w:t xml:space="preserve"> </w:t>
      </w:r>
      <w:r w:rsidR="003D1547" w:rsidRPr="00EA76B6">
        <w:rPr>
          <w:rFonts w:eastAsia="Times New Roman"/>
          <w:iCs/>
          <w:lang w:val="sr-Latn-CS"/>
        </w:rPr>
        <w:t>BEM</w:t>
      </w:r>
      <w:r w:rsidR="00F32D22">
        <w:rPr>
          <w:rFonts w:eastAsia="Times New Roman"/>
          <w:iCs/>
        </w:rPr>
        <w:t>-а</w:t>
      </w:r>
      <w:r w:rsidR="003D1547" w:rsidDel="003D1547">
        <w:rPr>
          <w:rFonts w:eastAsia="Times New Roman"/>
          <w:iCs/>
        </w:rPr>
        <w:t xml:space="preserve"> </w:t>
      </w:r>
      <w:proofErr w:type="spellStart"/>
      <w:r w:rsidR="00094F9F">
        <w:rPr>
          <w:rFonts w:eastAsia="Times New Roman"/>
          <w:iCs/>
        </w:rPr>
        <w:t>за</w:t>
      </w:r>
      <w:proofErr w:type="spellEnd"/>
      <w:r w:rsidR="00FA5560">
        <w:rPr>
          <w:rFonts w:eastAsia="Times New Roman"/>
          <w:iCs/>
          <w:lang w:val="en-GB"/>
        </w:rPr>
        <w:t xml:space="preserve"> </w:t>
      </w:r>
      <w:proofErr w:type="spellStart"/>
      <w:r w:rsidR="00FA5560">
        <w:rPr>
          <w:rFonts w:eastAsia="Times New Roman"/>
          <w:iCs/>
        </w:rPr>
        <w:t>базне</w:t>
      </w:r>
      <w:proofErr w:type="spellEnd"/>
      <w:r w:rsidR="00FA5560">
        <w:rPr>
          <w:rFonts w:eastAsia="Times New Roman"/>
          <w:iCs/>
        </w:rPr>
        <w:t xml:space="preserve"> </w:t>
      </w:r>
      <w:proofErr w:type="spellStart"/>
      <w:r w:rsidR="00A07012">
        <w:rPr>
          <w:rFonts w:eastAsia="Times New Roman"/>
          <w:iCs/>
        </w:rPr>
        <w:t>радио-</w:t>
      </w:r>
      <w:r w:rsidR="00FA5560">
        <w:rPr>
          <w:rFonts w:eastAsia="Times New Roman"/>
          <w:iCs/>
        </w:rPr>
        <w:t>станице</w:t>
      </w:r>
      <w:proofErr w:type="spellEnd"/>
      <w:r w:rsidR="00094F9F">
        <w:rPr>
          <w:rFonts w:eastAsia="Times New Roman"/>
          <w:iCs/>
        </w:rPr>
        <w:t xml:space="preserve"> у </w:t>
      </w:r>
      <w:proofErr w:type="spellStart"/>
      <w:r w:rsidR="00094F9F">
        <w:rPr>
          <w:rFonts w:eastAsia="Times New Roman"/>
          <w:iCs/>
        </w:rPr>
        <w:t>мобилној</w:t>
      </w:r>
      <w:proofErr w:type="spellEnd"/>
      <w:r w:rsidR="00094F9F">
        <w:rPr>
          <w:rFonts w:eastAsia="Times New Roman"/>
          <w:iCs/>
        </w:rPr>
        <w:t>/</w:t>
      </w:r>
      <w:proofErr w:type="spellStart"/>
      <w:r w:rsidR="00094F9F">
        <w:rPr>
          <w:rFonts w:eastAsia="Times New Roman"/>
          <w:iCs/>
        </w:rPr>
        <w:t>фиксној</w:t>
      </w:r>
      <w:proofErr w:type="spellEnd"/>
      <w:r w:rsidR="00094F9F">
        <w:rPr>
          <w:rFonts w:eastAsia="Times New Roman"/>
          <w:iCs/>
        </w:rPr>
        <w:t xml:space="preserve"> </w:t>
      </w:r>
      <w:proofErr w:type="spellStart"/>
      <w:r w:rsidR="00094F9F">
        <w:rPr>
          <w:rFonts w:eastAsia="Times New Roman"/>
          <w:iCs/>
        </w:rPr>
        <w:t>комуникационој</w:t>
      </w:r>
      <w:proofErr w:type="spellEnd"/>
      <w:r w:rsidR="00094F9F">
        <w:rPr>
          <w:rFonts w:eastAsia="Times New Roman"/>
          <w:iCs/>
        </w:rPr>
        <w:t xml:space="preserve"> </w:t>
      </w:r>
      <w:proofErr w:type="spellStart"/>
      <w:r w:rsidR="00094F9F">
        <w:rPr>
          <w:rFonts w:eastAsia="Times New Roman"/>
          <w:iCs/>
        </w:rPr>
        <w:t>мрежи</w:t>
      </w:r>
      <w:proofErr w:type="spellEnd"/>
      <w:r w:rsidR="00FA5560">
        <w:rPr>
          <w:rFonts w:eastAsia="Times New Roman"/>
          <w:iCs/>
        </w:rPr>
        <w:t xml:space="preserve">, </w:t>
      </w:r>
      <w:proofErr w:type="spellStart"/>
      <w:r w:rsidR="00FA5560">
        <w:rPr>
          <w:rFonts w:eastAsia="Times New Roman"/>
          <w:iCs/>
        </w:rPr>
        <w:t>дефинисани</w:t>
      </w:r>
      <w:proofErr w:type="spellEnd"/>
      <w:r w:rsidR="00FA5560">
        <w:rPr>
          <w:rFonts w:eastAsia="Times New Roman"/>
          <w:iCs/>
        </w:rPr>
        <w:t xml:space="preserve"> у Табели 2, користе се на следећи начин:</w:t>
      </w:r>
    </w:p>
    <w:p w14:paraId="71959459" w14:textId="77777777" w:rsidR="00662723" w:rsidRDefault="00662723">
      <w:pPr>
        <w:ind w:firstLine="450"/>
        <w:jc w:val="both"/>
        <w:rPr>
          <w:rFonts w:eastAsia="Times New Roman"/>
          <w:iCs/>
        </w:rPr>
      </w:pPr>
    </w:p>
    <w:p w14:paraId="1269094E" w14:textId="77777777" w:rsidR="00FA5560" w:rsidRDefault="00FA5560" w:rsidP="00FA5560">
      <w:pPr>
        <w:pStyle w:val="ListParagraph"/>
        <w:numPr>
          <w:ilvl w:val="0"/>
          <w:numId w:val="16"/>
        </w:numPr>
        <w:jc w:val="both"/>
        <w:rPr>
          <w:rFonts w:eastAsia="Times New Roman"/>
          <w:iCs/>
        </w:rPr>
      </w:pPr>
      <w:proofErr w:type="spellStart"/>
      <w:r>
        <w:rPr>
          <w:rFonts w:eastAsia="Times New Roman"/>
          <w:iCs/>
        </w:rPr>
        <w:t>ограничење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снаге</w:t>
      </w:r>
      <w:proofErr w:type="spellEnd"/>
      <w:r w:rsidR="00662723"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базне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станице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унутар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радио-фреквенцијског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блока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користи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B9281D">
        <w:rPr>
          <w:rFonts w:eastAsia="Times New Roman"/>
          <w:iCs/>
        </w:rPr>
        <w:t>радио-фреквенцијски</w:t>
      </w:r>
      <w:proofErr w:type="spellEnd"/>
      <w:r w:rsidR="00B9281D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блок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додељен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оператору</w:t>
      </w:r>
      <w:proofErr w:type="spellEnd"/>
      <w:r>
        <w:rPr>
          <w:rFonts w:eastAsia="Times New Roman"/>
          <w:iCs/>
        </w:rPr>
        <w:t>;</w:t>
      </w:r>
    </w:p>
    <w:p w14:paraId="6296A942" w14:textId="77777777" w:rsidR="00FA5560" w:rsidRDefault="00FA5560" w:rsidP="00FA5560">
      <w:pPr>
        <w:pStyle w:val="ListParagraph"/>
        <w:numPr>
          <w:ilvl w:val="0"/>
          <w:numId w:val="16"/>
        </w:numPr>
        <w:jc w:val="both"/>
        <w:rPr>
          <w:rFonts w:eastAsia="Times New Roman"/>
          <w:iCs/>
        </w:rPr>
      </w:pPr>
      <w:proofErr w:type="spellStart"/>
      <w:r>
        <w:rPr>
          <w:rFonts w:eastAsia="Times New Roman"/>
          <w:iCs/>
        </w:rPr>
        <w:t>о</w:t>
      </w:r>
      <w:r w:rsidR="003607CD">
        <w:rPr>
          <w:rFonts w:eastAsia="Times New Roman"/>
          <w:iCs/>
        </w:rPr>
        <w:t>граничења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снаге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базне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станице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примењују</w:t>
      </w:r>
      <w:proofErr w:type="spellEnd"/>
      <w:r w:rsidR="000E7DAF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се</w:t>
      </w:r>
      <w:proofErr w:type="spellEnd"/>
      <w:r w:rsidR="003607CD">
        <w:rPr>
          <w:rFonts w:eastAsia="Times New Roman"/>
          <w:iCs/>
        </w:rPr>
        <w:t xml:space="preserve"> и </w:t>
      </w:r>
      <w:proofErr w:type="spellStart"/>
      <w:r w:rsidR="003607CD">
        <w:rPr>
          <w:rFonts w:eastAsia="Times New Roman"/>
          <w:iCs/>
        </w:rPr>
        <w:t>на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прелазне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регионе</w:t>
      </w:r>
      <w:proofErr w:type="spellEnd"/>
      <w:r w:rsidR="003607CD">
        <w:rPr>
          <w:rFonts w:eastAsia="Times New Roman"/>
          <w:iCs/>
        </w:rPr>
        <w:t xml:space="preserve">, </w:t>
      </w:r>
      <w:proofErr w:type="spellStart"/>
      <w:r w:rsidR="003607CD">
        <w:rPr>
          <w:rFonts w:eastAsia="Times New Roman"/>
          <w:iCs/>
        </w:rPr>
        <w:t>осим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ако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се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4719AF">
        <w:rPr>
          <w:rFonts w:eastAsia="Times New Roman"/>
          <w:iCs/>
        </w:rPr>
        <w:t>радио-фреквенцијски</w:t>
      </w:r>
      <w:proofErr w:type="spellEnd"/>
      <w:r w:rsidR="004719AF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спектар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користи</w:t>
      </w:r>
      <w:proofErr w:type="spellEnd"/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за</w:t>
      </w:r>
      <w:proofErr w:type="spellEnd"/>
      <w:r w:rsidR="003607CD">
        <w:rPr>
          <w:rFonts w:eastAsia="Times New Roman"/>
          <w:iCs/>
        </w:rPr>
        <w:t xml:space="preserve"> </w:t>
      </w:r>
      <w:r w:rsidR="003607CD">
        <w:rPr>
          <w:rFonts w:eastAsia="Times New Roman"/>
          <w:iCs/>
          <w:lang w:val="en-GB"/>
        </w:rPr>
        <w:t>MFCN, PPDR (</w:t>
      </w:r>
      <w:r w:rsidR="003607CD" w:rsidRPr="003607CD">
        <w:rPr>
          <w:i/>
        </w:rPr>
        <w:t>Public Protection and Disaster Relief</w:t>
      </w:r>
      <w:r w:rsidR="003607CD">
        <w:t>)</w:t>
      </w:r>
      <w:r w:rsidR="003607CD">
        <w:rPr>
          <w:rFonts w:eastAsia="Times New Roman"/>
          <w:iCs/>
        </w:rPr>
        <w:t xml:space="preserve"> </w:t>
      </w:r>
      <w:proofErr w:type="spellStart"/>
      <w:r w:rsidR="003607CD">
        <w:rPr>
          <w:rFonts w:eastAsia="Times New Roman"/>
          <w:iCs/>
        </w:rPr>
        <w:t>или</w:t>
      </w:r>
      <w:proofErr w:type="spellEnd"/>
      <w:r w:rsidR="003607CD">
        <w:rPr>
          <w:rFonts w:eastAsia="Times New Roman"/>
          <w:iCs/>
        </w:rPr>
        <w:t xml:space="preserve"> </w:t>
      </w:r>
      <w:r w:rsidR="003607CD">
        <w:rPr>
          <w:rFonts w:eastAsia="Times New Roman"/>
          <w:iCs/>
          <w:lang w:val="en-GB"/>
        </w:rPr>
        <w:t>M2M</w:t>
      </w:r>
      <w:r w:rsidR="003607CD">
        <w:rPr>
          <w:rFonts w:eastAsia="Times New Roman"/>
          <w:iCs/>
        </w:rPr>
        <w:t xml:space="preserve"> (</w:t>
      </w:r>
      <w:r w:rsidR="003607CD" w:rsidRPr="003607CD">
        <w:rPr>
          <w:i/>
        </w:rPr>
        <w:t>Machine to Machine</w:t>
      </w:r>
      <w:r w:rsidR="003607CD">
        <w:rPr>
          <w:rFonts w:eastAsia="Times New Roman"/>
          <w:iCs/>
        </w:rPr>
        <w:t>). Уколико се прелазни региони поклапају са заштитним</w:t>
      </w:r>
      <w:r w:rsidR="004719AF">
        <w:rPr>
          <w:rFonts w:eastAsia="Times New Roman"/>
          <w:iCs/>
        </w:rPr>
        <w:t xml:space="preserve"> радио-фреквенцијским</w:t>
      </w:r>
      <w:r w:rsidR="003607CD">
        <w:rPr>
          <w:rFonts w:eastAsia="Times New Roman"/>
          <w:iCs/>
        </w:rPr>
        <w:t xml:space="preserve"> опсезима или суседним </w:t>
      </w:r>
      <w:r w:rsidR="004719AF">
        <w:rPr>
          <w:rFonts w:eastAsia="Times New Roman"/>
          <w:iCs/>
        </w:rPr>
        <w:t xml:space="preserve">радио-фреквенцијским </w:t>
      </w:r>
      <w:r w:rsidR="003607CD">
        <w:rPr>
          <w:rFonts w:eastAsia="Times New Roman"/>
          <w:iCs/>
        </w:rPr>
        <w:t xml:space="preserve">опсезима, користе се ограничења снаге </w:t>
      </w:r>
      <w:r w:rsidR="00C869F9">
        <w:rPr>
          <w:rFonts w:eastAsia="Times New Roman"/>
          <w:iCs/>
        </w:rPr>
        <w:t xml:space="preserve">базне станице </w:t>
      </w:r>
      <w:r w:rsidR="003607CD">
        <w:rPr>
          <w:rFonts w:eastAsia="Times New Roman"/>
          <w:iCs/>
        </w:rPr>
        <w:t>за прелазни регион;</w:t>
      </w:r>
    </w:p>
    <w:p w14:paraId="48E84475" w14:textId="77777777" w:rsidR="0097064D" w:rsidRDefault="0097064D" w:rsidP="00FA5560">
      <w:pPr>
        <w:pStyle w:val="ListParagraph"/>
        <w:numPr>
          <w:ilvl w:val="0"/>
          <w:numId w:val="16"/>
        </w:numPr>
        <w:jc w:val="both"/>
        <w:rPr>
          <w:rFonts w:eastAsia="Times New Roman"/>
          <w:iCs/>
        </w:rPr>
      </w:pPr>
      <w:proofErr w:type="spellStart"/>
      <w:r>
        <w:rPr>
          <w:rFonts w:eastAsia="Times New Roman"/>
          <w:iCs/>
        </w:rPr>
        <w:t>ограничења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снаге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базне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станице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основни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регион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примењују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преостали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C869F9">
        <w:rPr>
          <w:rFonts w:eastAsia="Times New Roman"/>
          <w:iCs/>
        </w:rPr>
        <w:t>радио-фреквенцијски</w:t>
      </w:r>
      <w:proofErr w:type="spellEnd"/>
      <w:r w:rsidR="00C869F9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спектар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додељен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  <w:lang w:val="en-GB"/>
        </w:rPr>
        <w:t xml:space="preserve"> MFCN </w:t>
      </w:r>
      <w:r w:rsidRPr="00E11B1E">
        <w:rPr>
          <w:rFonts w:eastAsia="Times New Roman"/>
          <w:i/>
          <w:iCs/>
          <w:lang w:val="en-GB"/>
        </w:rPr>
        <w:t>Uplink</w:t>
      </w:r>
      <w:r>
        <w:rPr>
          <w:rFonts w:eastAsia="Times New Roman"/>
          <w:iCs/>
        </w:rPr>
        <w:t xml:space="preserve"> и </w:t>
      </w:r>
      <w:r w:rsidRPr="00E11B1E">
        <w:rPr>
          <w:rFonts w:eastAsia="Times New Roman"/>
          <w:i/>
          <w:iCs/>
          <w:lang w:val="en-GB"/>
        </w:rPr>
        <w:t>Downlink</w:t>
      </w:r>
      <w:r>
        <w:rPr>
          <w:rFonts w:eastAsia="Times New Roman"/>
          <w:iCs/>
          <w:lang w:val="en-GB"/>
        </w:rPr>
        <w:t xml:space="preserve"> </w:t>
      </w:r>
      <w:r>
        <w:rPr>
          <w:rFonts w:eastAsia="Times New Roman"/>
          <w:iCs/>
        </w:rPr>
        <w:t>(</w:t>
      </w:r>
      <w:proofErr w:type="spellStart"/>
      <w:r>
        <w:rPr>
          <w:rFonts w:eastAsia="Times New Roman"/>
          <w:iCs/>
        </w:rPr>
        <w:t>укључујући</w:t>
      </w:r>
      <w:proofErr w:type="spellEnd"/>
      <w:r>
        <w:rPr>
          <w:rFonts w:eastAsia="Times New Roman"/>
          <w:iCs/>
        </w:rPr>
        <w:t xml:space="preserve"> </w:t>
      </w:r>
      <w:r>
        <w:rPr>
          <w:rFonts w:eastAsia="Times New Roman"/>
          <w:iCs/>
          <w:lang w:val="en-GB"/>
        </w:rPr>
        <w:t xml:space="preserve">SDL </w:t>
      </w:r>
      <w:proofErr w:type="spellStart"/>
      <w:r w:rsidR="009308E0">
        <w:rPr>
          <w:rFonts w:eastAsia="Times New Roman"/>
          <w:iCs/>
        </w:rPr>
        <w:t>радио-фреквенцијски</w:t>
      </w:r>
      <w:proofErr w:type="spellEnd"/>
      <w:r w:rsidR="009308E0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спектар</w:t>
      </w:r>
      <w:proofErr w:type="spellEnd"/>
      <w:r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ако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користи</w:t>
      </w:r>
      <w:proofErr w:type="spellEnd"/>
      <w:r>
        <w:rPr>
          <w:rFonts w:eastAsia="Times New Roman"/>
          <w:iCs/>
        </w:rPr>
        <w:t xml:space="preserve">),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r>
        <w:rPr>
          <w:rFonts w:eastAsia="Times New Roman"/>
          <w:iCs/>
          <w:lang w:val="en-GB"/>
        </w:rPr>
        <w:t xml:space="preserve">DTT </w:t>
      </w:r>
      <w:r w:rsidR="00E11B1E">
        <w:rPr>
          <w:rFonts w:eastAsia="Times New Roman"/>
          <w:iCs/>
          <w:lang w:val="en-GB"/>
        </w:rPr>
        <w:t>(</w:t>
      </w:r>
      <w:r w:rsidR="00E11B1E" w:rsidRPr="00E11B1E">
        <w:rPr>
          <w:i/>
        </w:rPr>
        <w:t>Digital Terrestrial Television</w:t>
      </w:r>
      <w:r w:rsidR="00E11B1E">
        <w:rPr>
          <w:rFonts w:eastAsia="Times New Roman"/>
          <w:iCs/>
          <w:lang w:val="en-GB"/>
        </w:rPr>
        <w:t xml:space="preserve">) </w:t>
      </w:r>
      <w:proofErr w:type="spellStart"/>
      <w:r w:rsidR="009308E0">
        <w:rPr>
          <w:rFonts w:eastAsia="Times New Roman"/>
          <w:iCs/>
        </w:rPr>
        <w:t>радио-фреквенцијски</w:t>
      </w:r>
      <w:proofErr w:type="spellEnd"/>
      <w:r w:rsidR="009308E0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спектар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испод</w:t>
      </w:r>
      <w:proofErr w:type="spellEnd"/>
      <w:r>
        <w:rPr>
          <w:rFonts w:eastAsia="Times New Roman"/>
          <w:iCs/>
        </w:rPr>
        <w:t xml:space="preserve"> 694 </w:t>
      </w:r>
      <w:r>
        <w:rPr>
          <w:rFonts w:eastAsia="Times New Roman"/>
          <w:iCs/>
          <w:lang w:val="en-GB"/>
        </w:rPr>
        <w:t>MHz</w:t>
      </w:r>
      <w:r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9308E0">
        <w:rPr>
          <w:rFonts w:eastAsia="Times New Roman"/>
          <w:iCs/>
        </w:rPr>
        <w:t>радио-фреквенцијски</w:t>
      </w:r>
      <w:proofErr w:type="spellEnd"/>
      <w:r w:rsidR="009308E0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спектар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који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користи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 w:rsidR="00E11B1E">
        <w:rPr>
          <w:rFonts w:eastAsia="Times New Roman"/>
          <w:iCs/>
          <w:lang w:val="en-GB"/>
        </w:rPr>
        <w:t xml:space="preserve"> MFCN</w:t>
      </w:r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изнад</w:t>
      </w:r>
      <w:proofErr w:type="spellEnd"/>
      <w:r>
        <w:rPr>
          <w:rFonts w:eastAsia="Times New Roman"/>
          <w:iCs/>
        </w:rPr>
        <w:t xml:space="preserve"> 790 </w:t>
      </w:r>
      <w:r w:rsidR="00E11B1E">
        <w:rPr>
          <w:rFonts w:eastAsia="Times New Roman"/>
          <w:iCs/>
          <w:lang w:val="en-GB"/>
        </w:rPr>
        <w:t xml:space="preserve">MHz </w:t>
      </w:r>
      <w:proofErr w:type="spellStart"/>
      <w:r>
        <w:rPr>
          <w:rFonts w:eastAsia="Times New Roman"/>
          <w:iCs/>
        </w:rPr>
        <w:t>или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r w:rsidR="00E11B1E">
        <w:rPr>
          <w:rFonts w:eastAsia="Times New Roman"/>
          <w:iCs/>
          <w:lang w:val="en-GB"/>
        </w:rPr>
        <w:t xml:space="preserve">PPDR </w:t>
      </w:r>
      <w:proofErr w:type="spellStart"/>
      <w:r>
        <w:rPr>
          <w:rFonts w:eastAsia="Times New Roman"/>
          <w:iCs/>
        </w:rPr>
        <w:t>или</w:t>
      </w:r>
      <w:proofErr w:type="spellEnd"/>
      <w:r>
        <w:rPr>
          <w:rFonts w:eastAsia="Times New Roman"/>
          <w:iCs/>
        </w:rPr>
        <w:t xml:space="preserve"> </w:t>
      </w:r>
      <w:r w:rsidR="00E11B1E">
        <w:rPr>
          <w:rFonts w:eastAsia="Times New Roman"/>
          <w:iCs/>
          <w:lang w:val="en-GB"/>
        </w:rPr>
        <w:t xml:space="preserve">M2M </w:t>
      </w:r>
      <w:r w:rsidR="00E11B1E" w:rsidRPr="00E11B1E">
        <w:rPr>
          <w:rFonts w:eastAsia="Times New Roman"/>
          <w:i/>
          <w:iCs/>
          <w:lang w:val="en-GB"/>
        </w:rPr>
        <w:t>Uplink</w:t>
      </w:r>
      <w:r w:rsidR="00E11B1E">
        <w:rPr>
          <w:rFonts w:eastAsia="Times New Roman"/>
          <w:iCs/>
          <w:lang w:val="en-GB"/>
        </w:rPr>
        <w:t xml:space="preserve"> </w:t>
      </w:r>
      <w:proofErr w:type="spellStart"/>
      <w:r>
        <w:rPr>
          <w:rFonts w:eastAsia="Times New Roman"/>
          <w:iCs/>
        </w:rPr>
        <w:t>или</w:t>
      </w:r>
      <w:proofErr w:type="spellEnd"/>
      <w:r w:rsidR="00E11B1E">
        <w:rPr>
          <w:rFonts w:eastAsia="Times New Roman"/>
          <w:iCs/>
          <w:lang w:val="en-GB"/>
        </w:rPr>
        <w:t xml:space="preserve"> </w:t>
      </w:r>
      <w:r w:rsidR="00E11B1E" w:rsidRPr="00E11B1E">
        <w:rPr>
          <w:rFonts w:eastAsia="Times New Roman"/>
          <w:i/>
          <w:iCs/>
          <w:lang w:val="en-GB"/>
        </w:rPr>
        <w:t>Downlink</w:t>
      </w:r>
      <w:r w:rsidR="00E11B1E">
        <w:rPr>
          <w:rFonts w:eastAsia="Times New Roman"/>
          <w:iCs/>
          <w:lang w:val="en-GB"/>
        </w:rPr>
        <w:t>;</w:t>
      </w:r>
    </w:p>
    <w:p w14:paraId="11972389" w14:textId="77777777" w:rsidR="003607CD" w:rsidRDefault="00E11B1E" w:rsidP="00FA5560">
      <w:pPr>
        <w:pStyle w:val="ListParagraph"/>
        <w:numPr>
          <w:ilvl w:val="0"/>
          <w:numId w:val="16"/>
        </w:numPr>
        <w:jc w:val="both"/>
        <w:rPr>
          <w:rFonts w:eastAsia="Times New Roman"/>
          <w:iCs/>
        </w:rPr>
      </w:pPr>
      <w:proofErr w:type="spellStart"/>
      <w:r>
        <w:rPr>
          <w:rFonts w:eastAsia="Times New Roman"/>
          <w:iCs/>
        </w:rPr>
        <w:t>ограничења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снаге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базне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 w:rsidR="00C670B5">
        <w:rPr>
          <w:rFonts w:eastAsia="Times New Roman"/>
          <w:iCs/>
        </w:rPr>
        <w:t>станице</w:t>
      </w:r>
      <w:proofErr w:type="spellEnd"/>
      <w:r w:rsidR="00C670B5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прописана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заштитне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210BAD">
        <w:rPr>
          <w:rFonts w:eastAsia="Times New Roman"/>
          <w:iCs/>
        </w:rPr>
        <w:t>радио-фреквенцијске</w:t>
      </w:r>
      <w:proofErr w:type="spellEnd"/>
      <w:r w:rsidR="00210BAD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опсеге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примењују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се</w:t>
      </w:r>
      <w:proofErr w:type="spellEnd"/>
      <w:r>
        <w:rPr>
          <w:rFonts w:eastAsia="Times New Roman"/>
          <w:iCs/>
        </w:rPr>
        <w:t xml:space="preserve"> у </w:t>
      </w:r>
      <w:proofErr w:type="spellStart"/>
      <w:r>
        <w:rPr>
          <w:rFonts w:eastAsia="Times New Roman"/>
          <w:iCs/>
        </w:rPr>
        <w:t>деловима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заштитних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210BAD">
        <w:rPr>
          <w:rFonts w:eastAsia="Times New Roman"/>
          <w:iCs/>
        </w:rPr>
        <w:t>радио-фреквенцијских</w:t>
      </w:r>
      <w:proofErr w:type="spellEnd"/>
      <w:r w:rsidR="00210BAD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опсега</w:t>
      </w:r>
      <w:proofErr w:type="spellEnd"/>
      <w:r w:rsidR="00210BAD">
        <w:rPr>
          <w:rFonts w:eastAsia="Times New Roman"/>
          <w:iCs/>
        </w:rPr>
        <w:t>,</w:t>
      </w:r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који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не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преклапају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прелазним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регионима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или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који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се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не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користе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за</w:t>
      </w:r>
      <w:proofErr w:type="spellEnd"/>
      <w:r>
        <w:rPr>
          <w:rFonts w:eastAsia="Times New Roman"/>
          <w:iCs/>
        </w:rPr>
        <w:t xml:space="preserve"> </w:t>
      </w:r>
      <w:r>
        <w:rPr>
          <w:rFonts w:eastAsia="Times New Roman"/>
          <w:iCs/>
          <w:lang w:val="en-GB"/>
        </w:rPr>
        <w:t xml:space="preserve">PPDR </w:t>
      </w:r>
      <w:proofErr w:type="spellStart"/>
      <w:r>
        <w:rPr>
          <w:rFonts w:eastAsia="Times New Roman"/>
          <w:iCs/>
        </w:rPr>
        <w:t>или</w:t>
      </w:r>
      <w:proofErr w:type="spellEnd"/>
      <w:r>
        <w:rPr>
          <w:rFonts w:eastAsia="Times New Roman"/>
          <w:iCs/>
        </w:rPr>
        <w:t xml:space="preserve"> </w:t>
      </w:r>
      <w:r>
        <w:rPr>
          <w:rFonts w:eastAsia="Times New Roman"/>
          <w:iCs/>
          <w:lang w:val="en-GB"/>
        </w:rPr>
        <w:t>M2M</w:t>
      </w:r>
      <w:r>
        <w:rPr>
          <w:rFonts w:eastAsia="Times New Roman"/>
          <w:iCs/>
        </w:rPr>
        <w:t>;</w:t>
      </w:r>
    </w:p>
    <w:p w14:paraId="6E3AE8E0" w14:textId="77777777" w:rsidR="00E11B1E" w:rsidRPr="003A42C1" w:rsidRDefault="00E11B1E" w:rsidP="00FA5560">
      <w:pPr>
        <w:pStyle w:val="ListParagraph"/>
        <w:numPr>
          <w:ilvl w:val="0"/>
          <w:numId w:val="16"/>
        </w:numPr>
        <w:jc w:val="both"/>
        <w:rPr>
          <w:rFonts w:eastAsia="Times New Roman"/>
          <w:iCs/>
        </w:rPr>
      </w:pPr>
      <w:r>
        <w:rPr>
          <w:rFonts w:eastAsia="Times New Roman"/>
          <w:iCs/>
        </w:rPr>
        <w:lastRenderedPageBreak/>
        <w:t xml:space="preserve">ограничења </w:t>
      </w:r>
      <w:r w:rsidR="00A07012">
        <w:rPr>
          <w:rFonts w:eastAsia="Times New Roman"/>
          <w:iCs/>
        </w:rPr>
        <w:t xml:space="preserve">снаге за </w:t>
      </w:r>
      <w:r w:rsidR="00031C6B">
        <w:rPr>
          <w:rFonts w:eastAsia="Times New Roman"/>
          <w:iCs/>
        </w:rPr>
        <w:t xml:space="preserve">дуплексни </w:t>
      </w:r>
      <w:r w:rsidR="005C5564">
        <w:rPr>
          <w:rFonts w:eastAsia="Times New Roman"/>
          <w:iCs/>
        </w:rPr>
        <w:t>размак</w:t>
      </w:r>
      <w:r>
        <w:rPr>
          <w:rFonts w:eastAsia="Times New Roman"/>
          <w:iCs/>
        </w:rPr>
        <w:t xml:space="preserve"> примењују се за </w:t>
      </w:r>
      <w:r w:rsidR="00067375">
        <w:rPr>
          <w:rFonts w:eastAsia="Times New Roman"/>
          <w:iCs/>
        </w:rPr>
        <w:t xml:space="preserve">радио-фреквенцијски </w:t>
      </w:r>
      <w:r>
        <w:rPr>
          <w:rFonts w:eastAsia="Times New Roman"/>
          <w:iCs/>
        </w:rPr>
        <w:t xml:space="preserve">спектар између 733 </w:t>
      </w:r>
      <w:r>
        <w:rPr>
          <w:rFonts w:eastAsia="Times New Roman"/>
          <w:iCs/>
          <w:lang w:val="en-GB"/>
        </w:rPr>
        <w:t xml:space="preserve">MHz </w:t>
      </w:r>
      <w:r>
        <w:rPr>
          <w:rFonts w:eastAsia="Times New Roman"/>
          <w:iCs/>
        </w:rPr>
        <w:t>и 758</w:t>
      </w:r>
      <w:r>
        <w:rPr>
          <w:rFonts w:eastAsia="Times New Roman"/>
          <w:iCs/>
          <w:lang w:val="en-GB"/>
        </w:rPr>
        <w:t xml:space="preserve"> MHz</w:t>
      </w:r>
      <w:r w:rsidR="00067375">
        <w:rPr>
          <w:rFonts w:eastAsia="Times New Roman"/>
          <w:iCs/>
        </w:rPr>
        <w:t>,</w:t>
      </w:r>
      <w:r>
        <w:rPr>
          <w:rFonts w:eastAsia="Times New Roman"/>
          <w:iCs/>
        </w:rPr>
        <w:t xml:space="preserve"> који се не користи за</w:t>
      </w:r>
      <w:r>
        <w:rPr>
          <w:rFonts w:eastAsia="Times New Roman"/>
          <w:iCs/>
          <w:lang w:val="en-GB"/>
        </w:rPr>
        <w:t xml:space="preserve"> MFCN</w:t>
      </w:r>
      <w:r>
        <w:rPr>
          <w:rFonts w:eastAsia="Times New Roman"/>
          <w:iCs/>
        </w:rPr>
        <w:t xml:space="preserve"> (укључујући</w:t>
      </w:r>
      <w:r>
        <w:rPr>
          <w:rFonts w:eastAsia="Times New Roman"/>
          <w:iCs/>
          <w:lang w:val="en-GB"/>
        </w:rPr>
        <w:t xml:space="preserve"> SDL</w:t>
      </w:r>
      <w:r>
        <w:rPr>
          <w:rFonts w:eastAsia="Times New Roman"/>
          <w:iCs/>
        </w:rPr>
        <w:t>)</w:t>
      </w:r>
      <w:r>
        <w:rPr>
          <w:rFonts w:eastAsia="Times New Roman"/>
          <w:iCs/>
          <w:lang w:val="en-GB"/>
        </w:rPr>
        <w:t>, PPDR</w:t>
      </w:r>
      <w:r>
        <w:rPr>
          <w:rFonts w:eastAsia="Times New Roman"/>
          <w:iCs/>
        </w:rPr>
        <w:t xml:space="preserve"> или</w:t>
      </w:r>
      <w:r>
        <w:rPr>
          <w:rFonts w:eastAsia="Times New Roman"/>
          <w:iCs/>
          <w:lang w:val="en-GB"/>
        </w:rPr>
        <w:t xml:space="preserve"> M2M.</w:t>
      </w:r>
    </w:p>
    <w:p w14:paraId="6504DCB9" w14:textId="77777777" w:rsidR="00067375" w:rsidRDefault="00067375" w:rsidP="00A07012">
      <w:pPr>
        <w:rPr>
          <w:rFonts w:eastAsia="Times New Roman"/>
          <w:i/>
          <w:iCs/>
          <w:sz w:val="22"/>
          <w:szCs w:val="22"/>
        </w:rPr>
      </w:pPr>
    </w:p>
    <w:p w14:paraId="06948F16" w14:textId="77777777" w:rsidR="00013E7E" w:rsidRDefault="00013E7E" w:rsidP="00A07012">
      <w:pPr>
        <w:rPr>
          <w:rFonts w:eastAsia="Times New Roman"/>
          <w:b/>
          <w:i/>
          <w:iCs/>
          <w:sz w:val="22"/>
          <w:szCs w:val="22"/>
        </w:rPr>
      </w:pPr>
    </w:p>
    <w:p w14:paraId="0C41E55C" w14:textId="77777777" w:rsidR="00E50182" w:rsidRDefault="00E5018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5708ADE6" w14:textId="77777777" w:rsidR="00637358" w:rsidRDefault="008A27B8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 w:rsidRPr="005D5CB2">
        <w:rPr>
          <w:rFonts w:eastAsia="Times New Roman"/>
          <w:b/>
          <w:i/>
          <w:iCs/>
          <w:sz w:val="22"/>
          <w:szCs w:val="22"/>
        </w:rPr>
        <w:t>Табела 2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r w:rsidRPr="005D5CB2">
        <w:rPr>
          <w:rFonts w:eastAsia="Times New Roman"/>
          <w:b/>
          <w:i/>
          <w:iCs/>
          <w:sz w:val="22"/>
          <w:szCs w:val="22"/>
          <w:lang w:val="sr-Latn-CS"/>
        </w:rPr>
        <w:t>E</w:t>
      </w:r>
      <w:r w:rsidRPr="005D5CB2">
        <w:rPr>
          <w:rFonts w:eastAsia="Times New Roman"/>
          <w:b/>
          <w:i/>
          <w:iCs/>
          <w:sz w:val="22"/>
          <w:szCs w:val="22"/>
        </w:rPr>
        <w:t>лементи</w:t>
      </w:r>
      <w:r w:rsidRPr="005D5CB2">
        <w:rPr>
          <w:rFonts w:eastAsia="Times New Roman"/>
          <w:b/>
          <w:i/>
          <w:iCs/>
          <w:sz w:val="22"/>
          <w:szCs w:val="22"/>
          <w:lang w:val="en-GB"/>
        </w:rPr>
        <w:t xml:space="preserve"> </w:t>
      </w:r>
      <w:r w:rsidR="00637358">
        <w:rPr>
          <w:rFonts w:eastAsia="Times New Roman"/>
          <w:b/>
          <w:i/>
          <w:iCs/>
          <w:sz w:val="22"/>
          <w:szCs w:val="22"/>
        </w:rPr>
        <w:t xml:space="preserve">спектралне 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маске на ивици </w:t>
      </w:r>
      <w:r w:rsidR="00094F9F">
        <w:rPr>
          <w:rFonts w:eastAsia="Times New Roman"/>
          <w:b/>
          <w:i/>
          <w:iCs/>
          <w:sz w:val="22"/>
          <w:szCs w:val="22"/>
        </w:rPr>
        <w:t xml:space="preserve">радио-фреквенцијског </w:t>
      </w:r>
      <w:r w:rsidRPr="005D5CB2">
        <w:rPr>
          <w:rFonts w:eastAsia="Times New Roman"/>
          <w:b/>
          <w:i/>
          <w:iCs/>
          <w:sz w:val="22"/>
          <w:szCs w:val="22"/>
        </w:rPr>
        <w:t>блока</w:t>
      </w:r>
      <w:r w:rsidR="00637358">
        <w:rPr>
          <w:rFonts w:eastAsia="Times New Roman"/>
          <w:b/>
          <w:i/>
          <w:iCs/>
          <w:sz w:val="22"/>
          <w:szCs w:val="22"/>
        </w:rPr>
        <w:t xml:space="preserve"> -</w:t>
      </w:r>
      <w:r w:rsidR="008E2978">
        <w:rPr>
          <w:rFonts w:eastAsia="Times New Roman"/>
          <w:b/>
          <w:i/>
          <w:iCs/>
          <w:sz w:val="22"/>
          <w:szCs w:val="22"/>
        </w:rPr>
        <w:t xml:space="preserve"> </w:t>
      </w:r>
      <w:r w:rsidR="00637358">
        <w:rPr>
          <w:rFonts w:eastAsia="Times New Roman"/>
          <w:b/>
          <w:i/>
          <w:iCs/>
          <w:sz w:val="22"/>
          <w:szCs w:val="22"/>
        </w:rPr>
        <w:t xml:space="preserve">BEM </w:t>
      </w:r>
      <w:r w:rsidR="00094F9F">
        <w:rPr>
          <w:rFonts w:eastAsia="Times New Roman"/>
          <w:b/>
          <w:i/>
          <w:iCs/>
          <w:sz w:val="22"/>
          <w:szCs w:val="22"/>
        </w:rPr>
        <w:t xml:space="preserve"> </w:t>
      </w:r>
      <w:r w:rsidR="00637358">
        <w:rPr>
          <w:rFonts w:eastAsia="Times New Roman"/>
          <w:b/>
          <w:i/>
          <w:iCs/>
          <w:sz w:val="22"/>
          <w:szCs w:val="22"/>
        </w:rPr>
        <w:t xml:space="preserve">  </w:t>
      </w:r>
    </w:p>
    <w:p w14:paraId="0304223B" w14:textId="77777777" w:rsidR="008A27B8" w:rsidRPr="005D5CB2" w:rsidRDefault="00637358" w:rsidP="00A07012">
      <w:pPr>
        <w:ind w:firstLine="450"/>
        <w:jc w:val="both"/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</w:t>
      </w:r>
      <w:r w:rsidR="00094F9F">
        <w:rPr>
          <w:rFonts w:eastAsia="Times New Roman"/>
          <w:b/>
          <w:i/>
          <w:iCs/>
          <w:sz w:val="22"/>
          <w:szCs w:val="22"/>
        </w:rPr>
        <w:t>за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 базне станице</w:t>
      </w:r>
      <w:r w:rsidR="00094F9F">
        <w:rPr>
          <w:rFonts w:eastAsia="Times New Roman"/>
          <w:b/>
          <w:i/>
          <w:iCs/>
          <w:sz w:val="22"/>
          <w:szCs w:val="22"/>
        </w:rPr>
        <w:t xml:space="preserve"> у</w:t>
      </w:r>
      <w:r w:rsidR="008E2978">
        <w:rPr>
          <w:rFonts w:eastAsia="Times New Roman"/>
          <w:b/>
          <w:i/>
          <w:iCs/>
          <w:sz w:val="22"/>
          <w:szCs w:val="22"/>
        </w:rPr>
        <w:t xml:space="preserve"> </w:t>
      </w:r>
      <w:r w:rsidR="00094F9F">
        <w:rPr>
          <w:rFonts w:eastAsia="Times New Roman"/>
          <w:b/>
          <w:i/>
          <w:iCs/>
          <w:sz w:val="22"/>
          <w:szCs w:val="22"/>
        </w:rPr>
        <w:t>мобилној/фиксној комуни</w:t>
      </w:r>
      <w:r w:rsidR="00372C83">
        <w:rPr>
          <w:rFonts w:eastAsia="Times New Roman"/>
          <w:b/>
          <w:i/>
          <w:iCs/>
          <w:sz w:val="22"/>
          <w:szCs w:val="22"/>
        </w:rPr>
        <w:t>ка</w:t>
      </w:r>
      <w:r w:rsidR="00094F9F">
        <w:rPr>
          <w:rFonts w:eastAsia="Times New Roman"/>
          <w:b/>
          <w:i/>
          <w:iCs/>
          <w:sz w:val="22"/>
          <w:szCs w:val="22"/>
        </w:rPr>
        <w:t>ционој мрежи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156"/>
        <w:gridCol w:w="6929"/>
      </w:tblGrid>
      <w:tr w:rsidR="00927CC8" w:rsidRPr="00067375" w14:paraId="6C21E879" w14:textId="77777777" w:rsidTr="002B2A0B">
        <w:trPr>
          <w:jc w:val="center"/>
        </w:trPr>
        <w:tc>
          <w:tcPr>
            <w:tcW w:w="2156" w:type="dxa"/>
            <w:shd w:val="clear" w:color="auto" w:fill="FFFFFF" w:themeFill="background1"/>
            <w:vAlign w:val="center"/>
          </w:tcPr>
          <w:p w14:paraId="50A1E476" w14:textId="77777777" w:rsidR="00927CC8" w:rsidRPr="00A07012" w:rsidRDefault="00927CC8" w:rsidP="00AB2A80">
            <w:pPr>
              <w:keepNext/>
              <w:spacing w:before="60" w:after="60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Унутар </w:t>
            </w:r>
            <w:r w:rsidR="0034271B"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радио-фреквенцијског </w:t>
            </w: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блока</w:t>
            </w:r>
          </w:p>
        </w:tc>
        <w:tc>
          <w:tcPr>
            <w:tcW w:w="6929" w:type="dxa"/>
            <w:shd w:val="clear" w:color="auto" w:fill="FFFFFF" w:themeFill="background1"/>
            <w:vAlign w:val="center"/>
          </w:tcPr>
          <w:p w14:paraId="6DC65118" w14:textId="77777777" w:rsidR="00927CC8" w:rsidRPr="00A07012" w:rsidRDefault="0034271B" w:rsidP="00A07012">
            <w:pPr>
              <w:keepNext/>
              <w:jc w:val="both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Радио-фреквенцијски б</w:t>
            </w:r>
            <w:r w:rsidR="00AB2A80" w:rsidRPr="00A07012">
              <w:rPr>
                <w:rFonts w:eastAsia="MS Mincho" w:cs="Arial"/>
                <w:sz w:val="22"/>
                <w:szCs w:val="22"/>
                <w:lang w:eastAsia="ja-JP"/>
              </w:rPr>
              <w:t>лок за који се дефинише</w:t>
            </w:r>
            <w:r w:rsidR="00927CC8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BEM</w:t>
            </w:r>
            <w:r w:rsidR="00AB2A80" w:rsidRPr="00A07012">
              <w:rPr>
                <w:rFonts w:eastAsia="MS Mincho" w:cs="Arial"/>
                <w:sz w:val="22"/>
                <w:szCs w:val="22"/>
                <w:lang w:eastAsia="ja-JP"/>
              </w:rPr>
              <w:t>.</w:t>
            </w:r>
          </w:p>
        </w:tc>
      </w:tr>
      <w:tr w:rsidR="00927CC8" w:rsidRPr="00067375" w14:paraId="45644D40" w14:textId="77777777" w:rsidTr="003A42C1">
        <w:trPr>
          <w:trHeight w:val="654"/>
          <w:jc w:val="center"/>
        </w:trPr>
        <w:tc>
          <w:tcPr>
            <w:tcW w:w="2156" w:type="dxa"/>
            <w:vAlign w:val="center"/>
          </w:tcPr>
          <w:p w14:paraId="6BE05361" w14:textId="77777777" w:rsidR="00927CC8" w:rsidRPr="00A07012" w:rsidRDefault="00927CC8" w:rsidP="00AB2A80">
            <w:pPr>
              <w:keepNext/>
              <w:spacing w:before="60" w:after="60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Основни регион</w:t>
            </w:r>
          </w:p>
        </w:tc>
        <w:tc>
          <w:tcPr>
            <w:tcW w:w="6929" w:type="dxa"/>
            <w:vAlign w:val="center"/>
          </w:tcPr>
          <w:p w14:paraId="17EB9FF6" w14:textId="77777777" w:rsidR="00927CC8" w:rsidRPr="00A07012" w:rsidRDefault="0034271B" w:rsidP="00A07012">
            <w:pPr>
              <w:keepNext/>
              <w:jc w:val="both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A07012">
              <w:rPr>
                <w:rFonts w:eastAsia="Times New Roman"/>
                <w:iCs/>
                <w:sz w:val="22"/>
                <w:szCs w:val="22"/>
              </w:rPr>
              <w:t>Радио-фреквенцијски с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>пектар додељен за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 MFCN </w:t>
            </w:r>
            <w:r w:rsidR="00AB2A80" w:rsidRPr="00A07012">
              <w:rPr>
                <w:rFonts w:eastAsia="Times New Roman"/>
                <w:i/>
                <w:iCs/>
                <w:sz w:val="22"/>
                <w:szCs w:val="22"/>
                <w:lang w:val="en-GB"/>
              </w:rPr>
              <w:t>Uplink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 xml:space="preserve"> и </w:t>
            </w:r>
            <w:r w:rsidR="00AB2A80" w:rsidRPr="00A07012">
              <w:rPr>
                <w:rFonts w:eastAsia="Times New Roman"/>
                <w:i/>
                <w:iCs/>
                <w:sz w:val="22"/>
                <w:szCs w:val="22"/>
                <w:lang w:val="en-GB"/>
              </w:rPr>
              <w:t>Downlink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 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 xml:space="preserve">(укључујући 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SDL </w:t>
            </w:r>
            <w:r w:rsidR="009F521A" w:rsidRPr="00A07012">
              <w:rPr>
                <w:rFonts w:eastAsia="Times New Roman"/>
                <w:iCs/>
                <w:sz w:val="22"/>
                <w:szCs w:val="22"/>
              </w:rPr>
              <w:t xml:space="preserve">радио-фреквенцијски 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 xml:space="preserve">спектар, ако се користи), за 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DTT 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 xml:space="preserve">испод 694 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>MHz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>, за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 MFCN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 xml:space="preserve"> изнад 790 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>MHz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 xml:space="preserve">, за 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PPDR 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 xml:space="preserve">или 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M2M </w:t>
            </w:r>
            <w:r w:rsidR="00AB2A80" w:rsidRPr="00A07012">
              <w:rPr>
                <w:rFonts w:eastAsia="Times New Roman"/>
                <w:i/>
                <w:iCs/>
                <w:sz w:val="22"/>
                <w:szCs w:val="22"/>
                <w:lang w:val="en-GB"/>
              </w:rPr>
              <w:t>Uplink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 </w:t>
            </w:r>
            <w:r w:rsidR="00AB2A80" w:rsidRPr="00A07012">
              <w:rPr>
                <w:rFonts w:eastAsia="Times New Roman"/>
                <w:iCs/>
                <w:sz w:val="22"/>
                <w:szCs w:val="22"/>
              </w:rPr>
              <w:t>или</w:t>
            </w:r>
            <w:r w:rsidR="00AB2A80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 xml:space="preserve"> </w:t>
            </w:r>
            <w:r w:rsidR="00AB2A80" w:rsidRPr="00A07012">
              <w:rPr>
                <w:rFonts w:eastAsia="Times New Roman"/>
                <w:i/>
                <w:iCs/>
                <w:sz w:val="22"/>
                <w:szCs w:val="22"/>
                <w:lang w:val="en-GB"/>
              </w:rPr>
              <w:t>Downlink</w:t>
            </w:r>
            <w:r w:rsidR="00AB2A80" w:rsidRPr="00A07012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927CC8" w:rsidRPr="00067375" w14:paraId="2B700CFA" w14:textId="77777777" w:rsidTr="003A42C1">
        <w:trPr>
          <w:jc w:val="center"/>
        </w:trPr>
        <w:tc>
          <w:tcPr>
            <w:tcW w:w="2156" w:type="dxa"/>
            <w:vAlign w:val="center"/>
          </w:tcPr>
          <w:p w14:paraId="33F46286" w14:textId="77777777" w:rsidR="00927CC8" w:rsidRPr="00A07012" w:rsidRDefault="00927CC8" w:rsidP="00AB2A80">
            <w:pPr>
              <w:spacing w:before="60" w:after="60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Прелазни регион</w:t>
            </w:r>
          </w:p>
        </w:tc>
        <w:tc>
          <w:tcPr>
            <w:tcW w:w="6929" w:type="dxa"/>
            <w:vAlign w:val="center"/>
          </w:tcPr>
          <w:p w14:paraId="41747317" w14:textId="77777777" w:rsidR="00927CC8" w:rsidRPr="00A07012" w:rsidRDefault="0034271B" w:rsidP="00A07012">
            <w:pPr>
              <w:jc w:val="both"/>
              <w:rPr>
                <w:rFonts w:eastAsia="MS Mincho" w:cs="Arial"/>
                <w:sz w:val="22"/>
                <w:szCs w:val="22"/>
                <w:lang w:val="en-GB" w:eastAsia="ja-JP"/>
              </w:rPr>
            </w:pP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Радио-фреквенцијски с</w:t>
            </w:r>
            <w:r w:rsidR="004D261F" w:rsidRPr="00A07012">
              <w:rPr>
                <w:rFonts w:eastAsia="MS Mincho" w:cs="Arial"/>
                <w:sz w:val="22"/>
                <w:szCs w:val="22"/>
                <w:lang w:eastAsia="ja-JP"/>
              </w:rPr>
              <w:t>пектар од</w:t>
            </w:r>
            <w:r w:rsidR="004D261F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0 </w:t>
            </w:r>
            <w:r w:rsidR="004D261F" w:rsidRPr="00A07012">
              <w:rPr>
                <w:rFonts w:eastAsia="MS Mincho" w:cs="Arial"/>
                <w:sz w:val="22"/>
                <w:szCs w:val="22"/>
                <w:lang w:eastAsia="ja-JP"/>
              </w:rPr>
              <w:t>до</w:t>
            </w:r>
            <w:r w:rsidR="00927CC8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10 MHz </w:t>
            </w:r>
            <w:r w:rsidR="004D261F"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испод и изнад </w:t>
            </w: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радио-фреквенци</w:t>
            </w:r>
            <w:r w:rsidR="004D71DF" w:rsidRPr="00A07012">
              <w:rPr>
                <w:rFonts w:eastAsia="MS Mincho" w:cs="Arial"/>
                <w:sz w:val="22"/>
                <w:szCs w:val="22"/>
                <w:lang w:eastAsia="ja-JP"/>
              </w:rPr>
              <w:t>јс</w:t>
            </w: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ког </w:t>
            </w:r>
            <w:r w:rsidR="004D261F" w:rsidRPr="00A07012">
              <w:rPr>
                <w:rFonts w:eastAsia="MS Mincho" w:cs="Arial"/>
                <w:sz w:val="22"/>
                <w:szCs w:val="22"/>
                <w:lang w:eastAsia="ja-JP"/>
              </w:rPr>
              <w:t>блока додељено</w:t>
            </w:r>
            <w:r w:rsidR="004F25A3" w:rsidRPr="00A07012">
              <w:rPr>
                <w:rFonts w:eastAsia="MS Mincho" w:cs="Arial"/>
                <w:sz w:val="22"/>
                <w:szCs w:val="22"/>
                <w:lang w:eastAsia="ja-JP"/>
              </w:rPr>
              <w:t>г</w:t>
            </w:r>
            <w:r w:rsidR="004D261F"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 оператору, осим </w:t>
            </w: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радио-фреквенцијског </w:t>
            </w:r>
            <w:r w:rsidR="00790728" w:rsidRPr="00A07012">
              <w:rPr>
                <w:rFonts w:eastAsia="MS Mincho" w:cs="Arial"/>
                <w:sz w:val="22"/>
                <w:szCs w:val="22"/>
                <w:lang w:eastAsia="ja-JP"/>
              </w:rPr>
              <w:t>опсега</w:t>
            </w:r>
            <w:r w:rsidR="006D6604">
              <w:rPr>
                <w:rFonts w:eastAsia="MS Mincho" w:cs="Arial"/>
                <w:sz w:val="22"/>
                <w:szCs w:val="22"/>
                <w:lang w:eastAsia="ja-JP"/>
              </w:rPr>
              <w:t>,</w:t>
            </w:r>
            <w:r w:rsidR="004D261F"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 који се користи за </w:t>
            </w:r>
            <w:r w:rsidR="004D261F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>MFCN</w:t>
            </w:r>
            <w:r w:rsidR="00492286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>,</w:t>
            </w:r>
            <w:r w:rsidR="00A94484" w:rsidRPr="00A07012">
              <w:rPr>
                <w:rFonts w:eastAsia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27CC8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PPDR </w:t>
            </w:r>
            <w:r w:rsidR="004D261F" w:rsidRPr="00A07012">
              <w:rPr>
                <w:rFonts w:eastAsia="MS Mincho" w:cs="Arial"/>
                <w:sz w:val="22"/>
                <w:szCs w:val="22"/>
                <w:lang w:eastAsia="ja-JP"/>
              </w:rPr>
              <w:t>или</w:t>
            </w:r>
            <w:r w:rsidR="00927CC8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M2M</w:t>
            </w:r>
            <w:r w:rsidR="00492286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>.</w:t>
            </w:r>
            <w:r w:rsidR="00927CC8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</w:t>
            </w:r>
          </w:p>
        </w:tc>
      </w:tr>
      <w:tr w:rsidR="00927CC8" w:rsidRPr="00067375" w14:paraId="270AC110" w14:textId="77777777" w:rsidTr="003A42C1">
        <w:trPr>
          <w:jc w:val="center"/>
        </w:trPr>
        <w:tc>
          <w:tcPr>
            <w:tcW w:w="2156" w:type="dxa"/>
            <w:vAlign w:val="center"/>
          </w:tcPr>
          <w:p w14:paraId="04AEA193" w14:textId="77777777" w:rsidR="00927CC8" w:rsidRPr="00A07012" w:rsidRDefault="00927CC8" w:rsidP="00AB2A80">
            <w:pPr>
              <w:spacing w:before="60" w:after="60"/>
              <w:rPr>
                <w:rFonts w:eastAsia="MS Mincho" w:cs="Arial"/>
                <w:sz w:val="22"/>
                <w:szCs w:val="22"/>
                <w:lang w:val="en-GB" w:eastAsia="ja-JP"/>
              </w:rPr>
            </w:pP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Заштитни </w:t>
            </w:r>
            <w:r w:rsidR="00094F9F"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радио-фреквенцијски </w:t>
            </w: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опсези</w:t>
            </w:r>
            <w:r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</w:t>
            </w:r>
          </w:p>
        </w:tc>
        <w:tc>
          <w:tcPr>
            <w:tcW w:w="6929" w:type="dxa"/>
            <w:vAlign w:val="center"/>
          </w:tcPr>
          <w:p w14:paraId="3A793435" w14:textId="77777777" w:rsidR="00927CC8" w:rsidRPr="00A07012" w:rsidRDefault="0034271B" w:rsidP="00A07012">
            <w:pPr>
              <w:pStyle w:val="ECCParBulleted"/>
              <w:numPr>
                <w:ilvl w:val="0"/>
                <w:numId w:val="18"/>
              </w:numPr>
              <w:tabs>
                <w:tab w:val="clear" w:pos="360"/>
                <w:tab w:val="num" w:pos="193"/>
              </w:tabs>
              <w:spacing w:after="0"/>
              <w:ind w:left="193" w:hanging="193"/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</w:pPr>
            <w:r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Радио-фреквенцијски с</w:t>
            </w:r>
            <w:r w:rsidR="00A94484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пектар између</w:t>
            </w:r>
            <w:r w:rsidR="00927CC8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 DTT </w:t>
            </w:r>
            <w:r w:rsidR="00157B02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радио-фреквенци</w:t>
            </w:r>
            <w:r w:rsidR="004D71DF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јс</w:t>
            </w:r>
            <w:r w:rsidR="00157B02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ког </w:t>
            </w:r>
            <w:r w:rsidR="00A94484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опсега испод</w:t>
            </w:r>
            <w:r w:rsidR="00927CC8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 694 MHz </w:t>
            </w:r>
            <w:r w:rsidR="00A94484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и доње ивице </w:t>
            </w:r>
            <w:r w:rsidR="00927CC8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MFCN </w:t>
            </w:r>
            <w:r w:rsidR="00A94484" w:rsidRPr="00A0701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Uplink-</w:t>
            </w:r>
            <w:r w:rsidR="00A94484" w:rsidRPr="00A07012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а</w:t>
            </w:r>
            <w:r w:rsidR="00927CC8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 (694-703 MHz); </w:t>
            </w:r>
          </w:p>
          <w:p w14:paraId="56D4AABF" w14:textId="77777777" w:rsidR="00927CC8" w:rsidRPr="00A07012" w:rsidRDefault="0034271B" w:rsidP="00A07012">
            <w:pPr>
              <w:pStyle w:val="ECCParBulleted"/>
              <w:numPr>
                <w:ilvl w:val="0"/>
                <w:numId w:val="18"/>
              </w:numPr>
              <w:tabs>
                <w:tab w:val="clear" w:pos="360"/>
                <w:tab w:val="num" w:pos="193"/>
              </w:tabs>
              <w:spacing w:after="0"/>
              <w:ind w:left="193" w:hanging="193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Радио-фреквенцијски с</w:t>
            </w:r>
            <w:r w:rsidR="00701732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пектар између горње ивице </w:t>
            </w:r>
            <w:r w:rsidR="00927CC8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MFCN </w:t>
            </w:r>
            <w:r w:rsidR="00701732" w:rsidRPr="00A07012">
              <w:rPr>
                <w:rFonts w:ascii="Times New Roman" w:eastAsia="MS Mincho" w:hAnsi="Times New Roman"/>
                <w:i/>
                <w:color w:val="000000" w:themeColor="text1"/>
                <w:sz w:val="22"/>
                <w:szCs w:val="22"/>
                <w:lang w:eastAsia="ja-JP"/>
              </w:rPr>
              <w:t>D</w:t>
            </w:r>
            <w:r w:rsidR="00927CC8" w:rsidRPr="00A07012">
              <w:rPr>
                <w:rFonts w:ascii="Times New Roman" w:eastAsia="MS Mincho" w:hAnsi="Times New Roman"/>
                <w:i/>
                <w:color w:val="000000" w:themeColor="text1"/>
                <w:sz w:val="22"/>
                <w:szCs w:val="22"/>
                <w:lang w:eastAsia="ja-JP"/>
              </w:rPr>
              <w:t>ownlink</w:t>
            </w:r>
            <w:r w:rsidR="00701732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-а</w:t>
            </w:r>
            <w:r w:rsidR="00927CC8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2B73AD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у </w:t>
            </w:r>
            <w:r w:rsidR="00157B02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радио-фреквенцијском </w:t>
            </w:r>
            <w:r w:rsidR="002B73AD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>опсегу испод 788</w:t>
            </w:r>
            <w:r w:rsidR="00413D97" w:rsidRPr="00A07012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413D97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MHz и доње ивице </w:t>
            </w:r>
            <w:r w:rsidR="00927CC8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MFCN </w:t>
            </w:r>
            <w:r w:rsidR="00413D97" w:rsidRPr="00A07012">
              <w:rPr>
                <w:rFonts w:ascii="Times New Roman" w:eastAsia="MS Mincho" w:hAnsi="Times New Roman"/>
                <w:i/>
                <w:sz w:val="22"/>
                <w:szCs w:val="22"/>
                <w:lang w:eastAsia="ja-JP"/>
              </w:rPr>
              <w:t>Downlink</w:t>
            </w:r>
            <w:r w:rsidR="00413D97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-а</w:t>
            </w:r>
            <w:r w:rsidR="00927CC8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="00413D97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у </w:t>
            </w:r>
            <w:r w:rsidR="00157B02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радио-фреквенци</w:t>
            </w:r>
            <w:r w:rsidR="004D71DF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јс</w:t>
            </w:r>
            <w:r w:rsidR="00157B02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ком </w:t>
            </w:r>
            <w:r w:rsidR="00413D97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опсегу</w:t>
            </w:r>
            <w:r w:rsidR="00927CC8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="002B73AD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изнад 79</w:t>
            </w:r>
            <w:r w:rsidR="00804DE7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</w:t>
            </w:r>
            <w:r w:rsidR="002B73AD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="00927CC8" w:rsidRPr="00A07012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MHz (788-791 MHz). </w:t>
            </w:r>
          </w:p>
          <w:p w14:paraId="37A744E4" w14:textId="77777777" w:rsidR="00927CC8" w:rsidRPr="00A07012" w:rsidRDefault="002C08C5" w:rsidP="00A07012">
            <w:pPr>
              <w:jc w:val="both"/>
              <w:rPr>
                <w:rFonts w:eastAsia="MS Mincho"/>
                <w:sz w:val="22"/>
                <w:szCs w:val="22"/>
                <w:lang w:val="en-GB" w:eastAsia="ja-JP"/>
              </w:rPr>
            </w:pPr>
            <w:r w:rsidRPr="00A07012">
              <w:rPr>
                <w:rFonts w:eastAsia="MS Mincho"/>
                <w:sz w:val="22"/>
                <w:szCs w:val="22"/>
                <w:lang w:eastAsia="ja-JP"/>
              </w:rPr>
              <w:t xml:space="preserve">За случај преклапања прелазног региона и заштитног </w:t>
            </w:r>
            <w:r w:rsidR="0034271B" w:rsidRPr="00A07012">
              <w:rPr>
                <w:rFonts w:eastAsia="MS Mincho"/>
                <w:sz w:val="22"/>
                <w:szCs w:val="22"/>
                <w:lang w:eastAsia="ja-JP"/>
              </w:rPr>
              <w:t xml:space="preserve">радио-фреквенцијског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>опсега</w:t>
            </w:r>
            <w:r w:rsidR="00927CC8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,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 xml:space="preserve">користе се ограничења снаге </w:t>
            </w:r>
            <w:r w:rsidR="00637358">
              <w:rPr>
                <w:rFonts w:eastAsia="MS Mincho"/>
                <w:sz w:val="22"/>
                <w:szCs w:val="22"/>
                <w:lang w:eastAsia="ja-JP"/>
              </w:rPr>
              <w:t xml:space="preserve">базне станице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 xml:space="preserve">дефинисана за прелазни регион. Када се </w:t>
            </w:r>
            <w:r w:rsidR="0034271B" w:rsidRPr="00A07012">
              <w:rPr>
                <w:rFonts w:eastAsia="MS Mincho"/>
                <w:sz w:val="22"/>
                <w:szCs w:val="22"/>
                <w:lang w:eastAsia="ja-JP"/>
              </w:rPr>
              <w:t>радио-фреквенци</w:t>
            </w:r>
            <w:r w:rsidR="00E31387" w:rsidRPr="00A07012">
              <w:rPr>
                <w:rFonts w:eastAsia="MS Mincho"/>
                <w:sz w:val="22"/>
                <w:szCs w:val="22"/>
                <w:lang w:eastAsia="ja-JP"/>
              </w:rPr>
              <w:t>јс</w:t>
            </w:r>
            <w:r w:rsidR="0034271B" w:rsidRPr="00A07012">
              <w:rPr>
                <w:rFonts w:eastAsia="MS Mincho"/>
                <w:sz w:val="22"/>
                <w:szCs w:val="22"/>
                <w:lang w:eastAsia="ja-JP"/>
              </w:rPr>
              <w:t xml:space="preserve">ки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>спектар користи за</w:t>
            </w:r>
            <w:r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 PPDR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>или</w:t>
            </w:r>
            <w:r w:rsidR="00927CC8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 M2M</w:t>
            </w:r>
            <w:r w:rsidR="00637358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="00927CC8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 xml:space="preserve">примењују се ограничења снаге </w:t>
            </w:r>
            <w:r w:rsidR="00637358">
              <w:rPr>
                <w:rFonts w:eastAsia="MS Mincho"/>
                <w:sz w:val="22"/>
                <w:szCs w:val="22"/>
                <w:lang w:eastAsia="ja-JP"/>
              </w:rPr>
              <w:t xml:space="preserve">базне станице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>за основни или прелазни регион.</w:t>
            </w:r>
            <w:r w:rsidR="00927CC8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 </w:t>
            </w:r>
          </w:p>
        </w:tc>
      </w:tr>
      <w:tr w:rsidR="00927CC8" w:rsidRPr="00067375" w14:paraId="29A018A2" w14:textId="77777777" w:rsidTr="003A42C1">
        <w:trPr>
          <w:jc w:val="center"/>
        </w:trPr>
        <w:tc>
          <w:tcPr>
            <w:tcW w:w="2156" w:type="dxa"/>
            <w:vAlign w:val="center"/>
          </w:tcPr>
          <w:p w14:paraId="629D3B4F" w14:textId="77777777" w:rsidR="00927CC8" w:rsidRPr="00A07012" w:rsidRDefault="0034711F" w:rsidP="00AB2A80">
            <w:pPr>
              <w:spacing w:before="60" w:after="60"/>
              <w:rPr>
                <w:rFonts w:eastAsia="MS Mincho" w:cs="Arial"/>
                <w:sz w:val="22"/>
                <w:szCs w:val="22"/>
                <w:highlight w:val="cyan"/>
                <w:lang w:val="en-GB"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Дуплексни р</w:t>
            </w:r>
            <w:r w:rsidR="00DF120F" w:rsidRPr="00A07012">
              <w:rPr>
                <w:rFonts w:eastAsia="MS Mincho" w:cs="Arial"/>
                <w:sz w:val="22"/>
                <w:szCs w:val="22"/>
                <w:lang w:eastAsia="ja-JP"/>
              </w:rPr>
              <w:t>азмак</w:t>
            </w:r>
            <w:r w:rsidR="00927CC8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</w:t>
            </w:r>
          </w:p>
        </w:tc>
        <w:tc>
          <w:tcPr>
            <w:tcW w:w="6929" w:type="dxa"/>
            <w:vAlign w:val="center"/>
          </w:tcPr>
          <w:p w14:paraId="44F91DE4" w14:textId="77777777" w:rsidR="00FC2899" w:rsidRPr="00A07012" w:rsidRDefault="0034271B" w:rsidP="00A0701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07012">
              <w:rPr>
                <w:rFonts w:eastAsia="MS Mincho"/>
                <w:sz w:val="22"/>
                <w:szCs w:val="22"/>
                <w:lang w:eastAsia="ja-JP"/>
              </w:rPr>
              <w:t>Радио-фреквенцијски с</w:t>
            </w:r>
            <w:r w:rsidR="00FC2899" w:rsidRPr="00A07012">
              <w:rPr>
                <w:rFonts w:eastAsia="MS Mincho"/>
                <w:sz w:val="22"/>
                <w:szCs w:val="22"/>
                <w:lang w:eastAsia="ja-JP"/>
              </w:rPr>
              <w:t xml:space="preserve">пектар из </w:t>
            </w:r>
            <w:r w:rsidR="00927CC8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FDD </w:t>
            </w:r>
            <w:r w:rsidR="00FC2899" w:rsidRPr="00A07012">
              <w:rPr>
                <w:rFonts w:eastAsia="MS Mincho"/>
                <w:sz w:val="22"/>
                <w:szCs w:val="22"/>
                <w:lang w:eastAsia="ja-JP"/>
              </w:rPr>
              <w:t>дуплексног ра</w:t>
            </w:r>
            <w:r w:rsidR="007F347E" w:rsidRPr="00A07012">
              <w:rPr>
                <w:rFonts w:eastAsia="MS Mincho"/>
                <w:sz w:val="22"/>
                <w:szCs w:val="22"/>
                <w:lang w:eastAsia="ja-JP"/>
              </w:rPr>
              <w:t>змака</w:t>
            </w:r>
            <w:r w:rsidR="0034711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4711F" w:rsidRPr="00A07012">
              <w:rPr>
                <w:rFonts w:eastAsia="MS Mincho"/>
                <w:sz w:val="22"/>
                <w:szCs w:val="22"/>
                <w:lang w:eastAsia="ja-JP"/>
              </w:rPr>
              <w:t>(733-7</w:t>
            </w:r>
            <w:r w:rsidR="0034711F">
              <w:rPr>
                <w:rFonts w:eastAsia="MS Mincho"/>
                <w:sz w:val="22"/>
                <w:szCs w:val="22"/>
                <w:lang w:eastAsia="ja-JP"/>
              </w:rPr>
              <w:t>5</w:t>
            </w:r>
            <w:r w:rsidR="0034711F" w:rsidRPr="00A07012">
              <w:rPr>
                <w:rFonts w:eastAsia="MS Mincho"/>
                <w:sz w:val="22"/>
                <w:szCs w:val="22"/>
                <w:lang w:eastAsia="ja-JP"/>
              </w:rPr>
              <w:t>8 MHz)</w:t>
            </w:r>
            <w:r w:rsidR="00DE0D24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="00FC2899" w:rsidRPr="00A07012">
              <w:rPr>
                <w:rFonts w:eastAsia="MS Mincho"/>
                <w:sz w:val="22"/>
                <w:szCs w:val="22"/>
                <w:lang w:eastAsia="ja-JP"/>
              </w:rPr>
              <w:t xml:space="preserve"> који се не користи за </w:t>
            </w:r>
            <w:r w:rsidR="00FC2899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SDL, PPDR </w:t>
            </w:r>
            <w:r w:rsidR="00FC2899" w:rsidRPr="00A07012">
              <w:rPr>
                <w:rFonts w:eastAsia="MS Mincho"/>
                <w:sz w:val="22"/>
                <w:szCs w:val="22"/>
                <w:lang w:eastAsia="ja-JP"/>
              </w:rPr>
              <w:t>или</w:t>
            </w:r>
            <w:r w:rsidR="00927CC8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 M2M. </w:t>
            </w:r>
          </w:p>
          <w:p w14:paraId="23FC85A7" w14:textId="77777777" w:rsidR="00927CC8" w:rsidRPr="00A07012" w:rsidRDefault="00FC2899" w:rsidP="00A0701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07012">
              <w:rPr>
                <w:rFonts w:eastAsia="MS Mincho"/>
                <w:sz w:val="22"/>
                <w:szCs w:val="22"/>
                <w:lang w:eastAsia="ja-JP"/>
              </w:rPr>
              <w:t>За случај преклапања прелазног рег</w:t>
            </w:r>
            <w:r w:rsidR="008E2978">
              <w:rPr>
                <w:rFonts w:eastAsia="MS Mincho"/>
                <w:sz w:val="22"/>
                <w:szCs w:val="22"/>
                <w:lang w:eastAsia="ja-JP"/>
              </w:rPr>
              <w:t>и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 xml:space="preserve">она и дела </w:t>
            </w:r>
            <w:r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FDD </w:t>
            </w:r>
            <w:r w:rsidR="00DB69E1" w:rsidRPr="00A07012">
              <w:rPr>
                <w:rFonts w:eastAsia="MS Mincho"/>
                <w:sz w:val="22"/>
                <w:szCs w:val="22"/>
                <w:lang w:eastAsia="ja-JP"/>
              </w:rPr>
              <w:t>дуплексног размак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>а</w:t>
            </w:r>
            <w:r w:rsidR="00DE0D24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 xml:space="preserve"> који се не користи за </w:t>
            </w:r>
            <w:r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SDL, PPDR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>или</w:t>
            </w:r>
            <w:r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 M2M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 xml:space="preserve">, примењују се ограничења снаге </w:t>
            </w:r>
            <w:r w:rsidR="00637358">
              <w:rPr>
                <w:rFonts w:eastAsia="MS Mincho"/>
                <w:sz w:val="22"/>
                <w:szCs w:val="22"/>
                <w:lang w:eastAsia="ja-JP"/>
              </w:rPr>
              <w:t xml:space="preserve">базне станице </w:t>
            </w:r>
            <w:r w:rsidRPr="00A07012">
              <w:rPr>
                <w:rFonts w:eastAsia="MS Mincho"/>
                <w:sz w:val="22"/>
                <w:szCs w:val="22"/>
                <w:lang w:eastAsia="ja-JP"/>
              </w:rPr>
              <w:t>за прелазни регион.</w:t>
            </w:r>
            <w:r w:rsidR="00927CC8" w:rsidRPr="00A07012">
              <w:rPr>
                <w:rFonts w:eastAsia="MS Mincho"/>
                <w:sz w:val="22"/>
                <w:szCs w:val="22"/>
                <w:lang w:val="en-GB" w:eastAsia="ja-JP"/>
              </w:rPr>
              <w:t xml:space="preserve"> </w:t>
            </w:r>
          </w:p>
        </w:tc>
      </w:tr>
    </w:tbl>
    <w:p w14:paraId="7DDDC4D5" w14:textId="77777777" w:rsidR="00AC0EB9" w:rsidRPr="00067375" w:rsidRDefault="00AC0EB9" w:rsidP="003A42C1">
      <w:pPr>
        <w:rPr>
          <w:rFonts w:eastAsia="Times New Roman"/>
          <w:iCs/>
          <w:sz w:val="22"/>
          <w:szCs w:val="22"/>
        </w:rPr>
      </w:pPr>
    </w:p>
    <w:p w14:paraId="3FD5123F" w14:textId="77777777" w:rsidR="00F0183F" w:rsidRDefault="00F0183F" w:rsidP="00A07012">
      <w:pPr>
        <w:rPr>
          <w:rFonts w:eastAsia="Times New Roman"/>
          <w:b/>
          <w:iCs/>
        </w:rPr>
      </w:pPr>
    </w:p>
    <w:p w14:paraId="6C29BFE5" w14:textId="77777777" w:rsidR="00F0183F" w:rsidRDefault="00F0183F" w:rsidP="0076173E">
      <w:pPr>
        <w:ind w:firstLine="450"/>
        <w:jc w:val="both"/>
        <w:rPr>
          <w:rFonts w:eastAsia="Times New Roman"/>
          <w:iCs/>
        </w:rPr>
      </w:pPr>
    </w:p>
    <w:p w14:paraId="18B39933" w14:textId="77777777" w:rsidR="00B9281D" w:rsidRDefault="0076173E" w:rsidP="00A07012">
      <w:pPr>
        <w:ind w:firstLine="450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У </w:t>
      </w:r>
      <w:r w:rsidR="00E14840">
        <w:rPr>
          <w:rFonts w:eastAsia="Times New Roman"/>
          <w:iCs/>
        </w:rPr>
        <w:t>Т</w:t>
      </w:r>
      <w:r>
        <w:rPr>
          <w:rFonts w:eastAsia="Times New Roman"/>
          <w:iCs/>
        </w:rPr>
        <w:t xml:space="preserve">абелама </w:t>
      </w:r>
      <w:r w:rsidR="009308E0">
        <w:rPr>
          <w:rFonts w:eastAsia="Times New Roman"/>
          <w:iCs/>
        </w:rPr>
        <w:t xml:space="preserve">од </w:t>
      </w:r>
      <w:r>
        <w:rPr>
          <w:rFonts w:eastAsia="Times New Roman"/>
          <w:iCs/>
        </w:rPr>
        <w:t>3</w:t>
      </w:r>
      <w:r w:rsidR="009308E0">
        <w:rPr>
          <w:rFonts w:eastAsia="Times New Roman"/>
          <w:iCs/>
        </w:rPr>
        <w:t xml:space="preserve">. до </w:t>
      </w:r>
      <w:r>
        <w:rPr>
          <w:rFonts w:eastAsia="Times New Roman"/>
          <w:iCs/>
        </w:rPr>
        <w:t xml:space="preserve">9, </w:t>
      </w:r>
      <w:r w:rsidR="00DB69E1">
        <w:rPr>
          <w:rFonts w:eastAsia="Times New Roman"/>
          <w:iCs/>
        </w:rPr>
        <w:t>дефинисан</w:t>
      </w:r>
      <w:r>
        <w:rPr>
          <w:rFonts w:eastAsia="Times New Roman"/>
          <w:iCs/>
        </w:rPr>
        <w:t xml:space="preserve"> је </w:t>
      </w:r>
      <w:r>
        <w:rPr>
          <w:rFonts w:eastAsia="Times New Roman"/>
          <w:iCs/>
          <w:lang w:val="en-GB"/>
        </w:rPr>
        <w:t xml:space="preserve">BEM </w:t>
      </w:r>
      <w:r>
        <w:rPr>
          <w:rFonts w:eastAsia="Times New Roman"/>
          <w:iCs/>
        </w:rPr>
        <w:t xml:space="preserve">за </w:t>
      </w:r>
      <w:r w:rsidR="00F0183F">
        <w:rPr>
          <w:rFonts w:eastAsia="Times New Roman"/>
          <w:iCs/>
        </w:rPr>
        <w:t>базну станицу</w:t>
      </w:r>
      <w:r w:rsidR="00372C83">
        <w:rPr>
          <w:rFonts w:eastAsia="Times New Roman"/>
          <w:iCs/>
        </w:rPr>
        <w:t xml:space="preserve"> у мобилној/фиксној комуникационој мрежи</w:t>
      </w:r>
      <w:r w:rsidR="00F0183F">
        <w:rPr>
          <w:rFonts w:eastAsia="Times New Roman"/>
          <w:iCs/>
        </w:rPr>
        <w:t>.</w:t>
      </w:r>
      <w:r>
        <w:rPr>
          <w:rFonts w:eastAsia="Times New Roman"/>
          <w:iCs/>
        </w:rPr>
        <w:t xml:space="preserve"> </w:t>
      </w:r>
    </w:p>
    <w:p w14:paraId="3D08E74F" w14:textId="77777777" w:rsidR="007B61B9" w:rsidRPr="007B61B9" w:rsidRDefault="007B61B9" w:rsidP="00A07012">
      <w:pPr>
        <w:ind w:firstLine="450"/>
        <w:jc w:val="both"/>
        <w:rPr>
          <w:rFonts w:eastAsia="Times New Roman"/>
          <w:iCs/>
        </w:rPr>
      </w:pPr>
    </w:p>
    <w:p w14:paraId="199E9ADE" w14:textId="77777777" w:rsidR="00362364" w:rsidRDefault="00362364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74A7EFF7" w14:textId="77777777" w:rsidR="009308E0" w:rsidRDefault="008A27B8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 w:rsidRPr="005D5CB2">
        <w:rPr>
          <w:rFonts w:eastAsia="Times New Roman"/>
          <w:b/>
          <w:i/>
          <w:iCs/>
          <w:sz w:val="22"/>
          <w:szCs w:val="22"/>
        </w:rPr>
        <w:t>Табела 3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базне станице</w:t>
      </w:r>
      <w:r w:rsidR="00372C83">
        <w:rPr>
          <w:rFonts w:eastAsia="Times New Roman"/>
          <w:b/>
          <w:i/>
          <w:iCs/>
          <w:sz w:val="22"/>
          <w:szCs w:val="22"/>
        </w:rPr>
        <w:t xml:space="preserve"> </w:t>
      </w:r>
      <w:bookmarkStart w:id="2" w:name="_Hlk49253653"/>
      <w:r w:rsidR="00372C83">
        <w:rPr>
          <w:rFonts w:eastAsia="Times New Roman"/>
          <w:b/>
          <w:i/>
          <w:iCs/>
          <w:sz w:val="22"/>
          <w:szCs w:val="22"/>
        </w:rPr>
        <w:t>у мобилној/фиксној комуникационој</w:t>
      </w:r>
      <w:r w:rsidR="009308E0">
        <w:rPr>
          <w:rFonts w:eastAsia="Times New Roman"/>
          <w:b/>
          <w:i/>
          <w:iCs/>
          <w:sz w:val="22"/>
          <w:szCs w:val="22"/>
        </w:rPr>
        <w:t xml:space="preserve"> </w:t>
      </w:r>
      <w:r w:rsidR="00372C83">
        <w:rPr>
          <w:rFonts w:eastAsia="Times New Roman"/>
          <w:b/>
          <w:i/>
          <w:iCs/>
          <w:sz w:val="22"/>
          <w:szCs w:val="22"/>
        </w:rPr>
        <w:t>мрежи</w:t>
      </w:r>
      <w:bookmarkEnd w:id="2"/>
      <w:r w:rsidR="009308E0">
        <w:rPr>
          <w:rFonts w:eastAsia="Times New Roman"/>
          <w:b/>
          <w:i/>
          <w:iCs/>
          <w:sz w:val="22"/>
          <w:szCs w:val="22"/>
        </w:rPr>
        <w:t xml:space="preserve"> </w:t>
      </w:r>
    </w:p>
    <w:p w14:paraId="69ADD535" w14:textId="77777777" w:rsidR="008A27B8" w:rsidRPr="005D5CB2" w:rsidRDefault="005B30A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>унутар</w:t>
      </w:r>
      <w:r w:rsidR="00372C83">
        <w:rPr>
          <w:rFonts w:eastAsia="Times New Roman"/>
          <w:b/>
          <w:i/>
          <w:iCs/>
          <w:sz w:val="22"/>
          <w:szCs w:val="22"/>
        </w:rPr>
        <w:t xml:space="preserve"> радио-фреквенцијског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 блока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3"/>
        <w:gridCol w:w="3081"/>
        <w:gridCol w:w="3081"/>
      </w:tblGrid>
      <w:tr w:rsidR="003A42C1" w:rsidRPr="000E7DAF" w14:paraId="7DA79754" w14:textId="77777777" w:rsidTr="003976B6">
        <w:tc>
          <w:tcPr>
            <w:tcW w:w="2973" w:type="dxa"/>
            <w:shd w:val="clear" w:color="auto" w:fill="C6D9F1" w:themeFill="text2" w:themeFillTint="33"/>
          </w:tcPr>
          <w:p w14:paraId="4CD94378" w14:textId="77777777" w:rsidR="003A42C1" w:rsidRPr="00A07012" w:rsidRDefault="00372C83" w:rsidP="006D6604">
            <w:pPr>
              <w:jc w:val="center"/>
              <w:rPr>
                <w:rFonts w:eastAsia="Times New Roman"/>
                <w:b/>
                <w:iCs/>
                <w:sz w:val="22"/>
                <w:szCs w:val="22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Радио-ф</w:t>
            </w:r>
            <w:r w:rsidR="003A42C1" w:rsidRPr="00A07012">
              <w:rPr>
                <w:rFonts w:eastAsia="Times New Roman"/>
                <w:b/>
                <w:iCs/>
                <w:sz w:val="22"/>
                <w:szCs w:val="22"/>
              </w:rPr>
              <w:t>реквенцијски опсег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14:paraId="45FE3E0A" w14:textId="77777777" w:rsidR="003A42C1" w:rsidRPr="00A07012" w:rsidRDefault="00FC39A7" w:rsidP="006D6604">
            <w:pPr>
              <w:jc w:val="center"/>
              <w:rPr>
                <w:rFonts w:eastAsia="Times New Roman"/>
                <w:b/>
                <w:iCs/>
                <w:sz w:val="22"/>
                <w:szCs w:val="22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Максимална средња</w:t>
            </w:r>
            <w:r w:rsidR="00372C83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еквивалентна изотропно израчена снага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14:paraId="459EF19B" w14:textId="77777777" w:rsidR="003A42C1" w:rsidRPr="00A07012" w:rsidRDefault="00FC39A7" w:rsidP="00C1262A">
            <w:pPr>
              <w:jc w:val="center"/>
              <w:rPr>
                <w:rFonts w:eastAsia="Times New Roman"/>
                <w:b/>
                <w:iCs/>
                <w:sz w:val="22"/>
                <w:szCs w:val="22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3A42C1" w:rsidRPr="000E7DAF" w14:paraId="79BD5D45" w14:textId="77777777" w:rsidTr="00EC3B45">
        <w:tc>
          <w:tcPr>
            <w:tcW w:w="2973" w:type="dxa"/>
          </w:tcPr>
          <w:p w14:paraId="2165716C" w14:textId="77777777" w:rsidR="003A42C1" w:rsidRPr="00A07012" w:rsidRDefault="00372C83" w:rsidP="00A07012">
            <w:pPr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A07012">
              <w:rPr>
                <w:rFonts w:eastAsia="Times New Roman"/>
                <w:iCs/>
                <w:sz w:val="22"/>
                <w:szCs w:val="22"/>
              </w:rPr>
              <w:t>Радио-фреквенцијски б</w:t>
            </w:r>
            <w:r w:rsidR="00FC39A7" w:rsidRPr="00A07012">
              <w:rPr>
                <w:rFonts w:eastAsia="Times New Roman"/>
                <w:iCs/>
                <w:sz w:val="22"/>
                <w:szCs w:val="22"/>
              </w:rPr>
              <w:t>лок додељен оператору</w:t>
            </w:r>
          </w:p>
        </w:tc>
        <w:tc>
          <w:tcPr>
            <w:tcW w:w="3081" w:type="dxa"/>
          </w:tcPr>
          <w:p w14:paraId="4BBCF21C" w14:textId="77777777" w:rsidR="003A42C1" w:rsidRPr="00A07012" w:rsidRDefault="00FC39A7" w:rsidP="006D6604">
            <w:pPr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A07012">
              <w:rPr>
                <w:rFonts w:eastAsia="Times New Roman"/>
                <w:iCs/>
                <w:sz w:val="22"/>
                <w:szCs w:val="22"/>
              </w:rPr>
              <w:t>64 dBm</w:t>
            </w:r>
            <w:r w:rsidR="00157B02" w:rsidRPr="00A07012">
              <w:rPr>
                <w:rFonts w:eastAsia="Times New Roman"/>
                <w:iCs/>
                <w:sz w:val="22"/>
                <w:szCs w:val="22"/>
              </w:rPr>
              <w:t>/5 М</w:t>
            </w:r>
            <w:r w:rsidR="00157B02" w:rsidRPr="00A07012">
              <w:rPr>
                <w:rFonts w:eastAsia="Times New Roman"/>
                <w:iCs/>
                <w:sz w:val="22"/>
                <w:szCs w:val="22"/>
                <w:lang w:val="en-GB"/>
              </w:rPr>
              <w:t>Hz</w:t>
            </w:r>
            <w:r w:rsidRPr="00A07012">
              <w:rPr>
                <w:rFonts w:eastAsia="Times New Roman"/>
                <w:iCs/>
                <w:sz w:val="22"/>
                <w:szCs w:val="22"/>
              </w:rPr>
              <w:t xml:space="preserve"> по антенском прикључку</w:t>
            </w:r>
          </w:p>
        </w:tc>
        <w:tc>
          <w:tcPr>
            <w:tcW w:w="3081" w:type="dxa"/>
          </w:tcPr>
          <w:p w14:paraId="2AA0E6A7" w14:textId="77777777" w:rsidR="003A42C1" w:rsidRPr="00A07012" w:rsidRDefault="00FC39A7" w:rsidP="00C1262A">
            <w:pPr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A07012">
              <w:rPr>
                <w:rFonts w:eastAsia="Times New Roman"/>
                <w:iCs/>
                <w:sz w:val="22"/>
                <w:szCs w:val="22"/>
              </w:rPr>
              <w:t>5 MHz</w:t>
            </w:r>
          </w:p>
        </w:tc>
      </w:tr>
    </w:tbl>
    <w:p w14:paraId="70B020A4" w14:textId="77777777" w:rsidR="003A42C1" w:rsidRDefault="003A42C1" w:rsidP="00927CC8">
      <w:pPr>
        <w:ind w:firstLine="450"/>
        <w:jc w:val="center"/>
        <w:rPr>
          <w:rFonts w:eastAsia="Times New Roman"/>
          <w:i/>
          <w:iCs/>
          <w:sz w:val="22"/>
          <w:szCs w:val="22"/>
        </w:rPr>
      </w:pPr>
    </w:p>
    <w:p w14:paraId="2FE12818" w14:textId="77777777" w:rsidR="00B61408" w:rsidRDefault="00B61408" w:rsidP="00A07012">
      <w:pPr>
        <w:rPr>
          <w:rFonts w:eastAsia="Times New Roman"/>
          <w:b/>
          <w:i/>
          <w:iCs/>
          <w:sz w:val="22"/>
          <w:szCs w:val="22"/>
        </w:rPr>
      </w:pPr>
    </w:p>
    <w:p w14:paraId="6BCBE593" w14:textId="77777777" w:rsidR="00362364" w:rsidRDefault="00362364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083335D6" w14:textId="77777777" w:rsidR="00E50182" w:rsidRDefault="00E5018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2FA508EB" w14:textId="77777777" w:rsidR="00362364" w:rsidRDefault="00362364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6953DF5C" w14:textId="77777777" w:rsidR="00362364" w:rsidRDefault="00362364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51ACAAE8" w14:textId="77777777" w:rsidR="005B30A2" w:rsidRDefault="008A27B8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Табела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4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базне станице </w:t>
      </w:r>
      <w:r w:rsidR="00372C83">
        <w:rPr>
          <w:rFonts w:eastAsia="Times New Roman"/>
          <w:b/>
          <w:i/>
          <w:iCs/>
          <w:sz w:val="22"/>
          <w:szCs w:val="22"/>
        </w:rPr>
        <w:t>у мобилној/фиксној комуникационој мрежи</w:t>
      </w:r>
      <w:r w:rsidR="005B30A2">
        <w:rPr>
          <w:rFonts w:eastAsia="Times New Roman"/>
          <w:b/>
          <w:i/>
          <w:iCs/>
          <w:sz w:val="22"/>
          <w:szCs w:val="22"/>
        </w:rPr>
        <w:t xml:space="preserve"> </w:t>
      </w:r>
    </w:p>
    <w:p w14:paraId="682561FE" w14:textId="77777777" w:rsidR="008A27B8" w:rsidRPr="005D5CB2" w:rsidRDefault="005B30A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>у основном региону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694"/>
        <w:gridCol w:w="1984"/>
        <w:gridCol w:w="2693"/>
        <w:gridCol w:w="1764"/>
      </w:tblGrid>
      <w:tr w:rsidR="008F4CCE" w:rsidRPr="000E7DAF" w14:paraId="5D281225" w14:textId="77777777" w:rsidTr="003976B6">
        <w:tc>
          <w:tcPr>
            <w:tcW w:w="2694" w:type="dxa"/>
            <w:shd w:val="clear" w:color="auto" w:fill="C6D9F1" w:themeFill="text2" w:themeFillTint="33"/>
            <w:vAlign w:val="center"/>
          </w:tcPr>
          <w:p w14:paraId="7D2D33B2" w14:textId="77777777" w:rsidR="001C7710" w:rsidRPr="00A07012" w:rsidRDefault="00372C83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Радио-ф</w:t>
            </w:r>
            <w:r w:rsidR="001C7710" w:rsidRPr="00A07012">
              <w:rPr>
                <w:rFonts w:eastAsia="Times New Roman"/>
                <w:b/>
                <w:iCs/>
                <w:sz w:val="22"/>
                <w:szCs w:val="22"/>
              </w:rPr>
              <w:t>реквенцијски опсег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4A253F7B" w14:textId="77777777" w:rsidR="001C7710" w:rsidRPr="00A07012" w:rsidRDefault="001C7710" w:rsidP="00A07012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07012">
              <w:rPr>
                <w:rFonts w:cs="Arial"/>
                <w:b/>
                <w:sz w:val="22"/>
                <w:szCs w:val="22"/>
              </w:rPr>
              <w:t>Ширина опсега блока који се штити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1201296E" w14:textId="77777777" w:rsidR="001C7710" w:rsidRPr="00A07012" w:rsidRDefault="001C7710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Максимална средња</w:t>
            </w:r>
            <w:r w:rsidR="00372C83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еквивалентна изотропно израчена снага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</w:p>
        </w:tc>
        <w:tc>
          <w:tcPr>
            <w:tcW w:w="1764" w:type="dxa"/>
            <w:shd w:val="clear" w:color="auto" w:fill="C6D9F1" w:themeFill="text2" w:themeFillTint="33"/>
            <w:vAlign w:val="center"/>
          </w:tcPr>
          <w:p w14:paraId="519F08F9" w14:textId="77777777" w:rsidR="001C7710" w:rsidRPr="00A07012" w:rsidRDefault="001C7710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8F4CCE" w:rsidRPr="000E7DAF" w14:paraId="33C02F8D" w14:textId="77777777" w:rsidTr="00EC3B45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54CFF8A" w14:textId="77777777" w:rsidR="001C7710" w:rsidRPr="00A07012" w:rsidRDefault="00A07012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Р</w:t>
            </w:r>
            <w:r w:rsidR="008F4CCE" w:rsidRPr="00A07012">
              <w:rPr>
                <w:sz w:val="22"/>
                <w:szCs w:val="22"/>
              </w:rPr>
              <w:t>адио-</w:t>
            </w:r>
            <w:r w:rsidR="0041084F" w:rsidRPr="00A07012">
              <w:rPr>
                <w:rFonts w:cs="Arial"/>
                <w:sz w:val="22"/>
                <w:szCs w:val="22"/>
                <w:lang w:eastAsia="en-GB"/>
              </w:rPr>
              <w:t>фреквенције у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A07012">
              <w:rPr>
                <w:i/>
                <w:sz w:val="22"/>
                <w:szCs w:val="22"/>
                <w:lang w:val="en-GB"/>
              </w:rPr>
              <w:t>Uplink</w:t>
            </w:r>
            <w:r w:rsidR="0041084F" w:rsidRPr="00A0701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8F4CCE" w:rsidRPr="00A07012">
              <w:rPr>
                <w:rFonts w:cs="Arial"/>
                <w:sz w:val="22"/>
                <w:szCs w:val="22"/>
                <w:lang w:eastAsia="en-GB"/>
              </w:rPr>
              <w:t xml:space="preserve">радио-фреквенцијском </w:t>
            </w:r>
            <w:r w:rsidR="0041084F" w:rsidRPr="00A07012">
              <w:rPr>
                <w:rFonts w:cs="Arial"/>
                <w:sz w:val="22"/>
                <w:szCs w:val="22"/>
                <w:lang w:eastAsia="en-GB"/>
              </w:rPr>
              <w:t>опсегу</w:t>
            </w:r>
            <w:r w:rsidR="00EC3B45" w:rsidRPr="00A0701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1C7710" w:rsidRPr="00A07012">
              <w:rPr>
                <w:rFonts w:cs="Arial"/>
                <w:sz w:val="22"/>
                <w:szCs w:val="22"/>
                <w:lang w:val="en-GB" w:eastAsia="en-GB"/>
              </w:rPr>
              <w:t>698-</w:t>
            </w:r>
            <w:r w:rsidR="00EC0794" w:rsidRPr="00A07012">
              <w:rPr>
                <w:rFonts w:cs="Arial"/>
                <w:sz w:val="22"/>
                <w:szCs w:val="22"/>
                <w:lang w:val="en-GB" w:eastAsia="en-GB"/>
              </w:rPr>
              <w:t>7</w:t>
            </w:r>
            <w:r w:rsidR="00EC0794">
              <w:rPr>
                <w:rFonts w:cs="Arial"/>
                <w:sz w:val="22"/>
                <w:szCs w:val="22"/>
                <w:lang w:eastAsia="en-GB"/>
              </w:rPr>
              <w:t>36</w:t>
            </w:r>
            <w:r w:rsidR="00EC0794" w:rsidRPr="00A07012">
              <w:rPr>
                <w:rFonts w:cs="Arial"/>
                <w:sz w:val="22"/>
                <w:szCs w:val="22"/>
                <w:lang w:val="en-GB" w:eastAsia="en-GB"/>
              </w:rPr>
              <w:t xml:space="preserve"> </w:t>
            </w:r>
            <w:r w:rsidR="001C7710" w:rsidRPr="00A07012">
              <w:rPr>
                <w:rFonts w:cs="Arial"/>
                <w:sz w:val="22"/>
                <w:szCs w:val="22"/>
                <w:lang w:val="en-GB" w:eastAsia="en-GB"/>
              </w:rPr>
              <w:t xml:space="preserve">MHz </w:t>
            </w:r>
            <w:r w:rsidR="001C7710" w:rsidRPr="00A07012">
              <w:rPr>
                <w:sz w:val="22"/>
                <w:szCs w:val="22"/>
                <w:vertAlign w:val="superscript"/>
                <w:lang w:val="en-GB"/>
              </w:rPr>
              <w:t>(2)</w:t>
            </w:r>
          </w:p>
        </w:tc>
        <w:tc>
          <w:tcPr>
            <w:tcW w:w="1984" w:type="dxa"/>
            <w:shd w:val="clear" w:color="auto" w:fill="FFFFFF" w:themeFill="background1"/>
          </w:tcPr>
          <w:p w14:paraId="55F432C3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rFonts w:cs="Arial"/>
                <w:sz w:val="22"/>
                <w:szCs w:val="22"/>
                <w:lang w:val="en-GB"/>
              </w:rPr>
              <w:t>≥</w:t>
            </w:r>
            <w:r w:rsidRPr="00A07012">
              <w:rPr>
                <w:sz w:val="22"/>
                <w:szCs w:val="22"/>
                <w:lang w:val="en-GB"/>
              </w:rPr>
              <w:t xml:space="preserve"> 5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4C56AF" w14:textId="77777777" w:rsidR="001C7710" w:rsidRPr="00A07012" w:rsidRDefault="00275381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-5</w:t>
            </w:r>
            <w:r w:rsidRPr="00A07012">
              <w:rPr>
                <w:sz w:val="22"/>
                <w:szCs w:val="22"/>
              </w:rPr>
              <w:t>0</w:t>
            </w:r>
            <w:r w:rsidRPr="00A07012">
              <w:rPr>
                <w:sz w:val="22"/>
                <w:szCs w:val="22"/>
                <w:lang w:val="en-GB"/>
              </w:rPr>
              <w:t xml:space="preserve"> dBm </w:t>
            </w:r>
            <w:r w:rsidRPr="00A07012">
              <w:rPr>
                <w:sz w:val="22"/>
                <w:szCs w:val="22"/>
              </w:rPr>
              <w:t>по ћелији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Pr="00A07012">
              <w:rPr>
                <w:sz w:val="22"/>
                <w:szCs w:val="22"/>
                <w:vertAlign w:val="superscript"/>
                <w:lang w:val="en-GB"/>
              </w:rPr>
              <w:t>(1)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4FA62402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8F4CCE" w:rsidRPr="000E7DAF" w14:paraId="5AB711C7" w14:textId="77777777" w:rsidTr="00EC3B45"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6EED115B" w14:textId="77777777" w:rsidR="001C7710" w:rsidRPr="00A07012" w:rsidRDefault="001C771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7BFC7CC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3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609AC7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-52 dBm </w:t>
            </w:r>
            <w:r w:rsidR="00275381" w:rsidRPr="00A07012">
              <w:rPr>
                <w:sz w:val="22"/>
                <w:szCs w:val="22"/>
              </w:rPr>
              <w:t>по ћелији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Pr="00A07012">
              <w:rPr>
                <w:sz w:val="22"/>
                <w:szCs w:val="22"/>
                <w:vertAlign w:val="superscript"/>
                <w:lang w:val="en-GB"/>
              </w:rPr>
              <w:t>(1)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C1E8A94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3 MHz </w:t>
            </w:r>
            <w:r w:rsidRPr="00A07012">
              <w:rPr>
                <w:sz w:val="22"/>
                <w:szCs w:val="22"/>
                <w:vertAlign w:val="superscript"/>
                <w:lang w:val="en-GB"/>
              </w:rPr>
              <w:t>(2)</w:t>
            </w:r>
          </w:p>
        </w:tc>
      </w:tr>
      <w:tr w:rsidR="008F4CCE" w:rsidRPr="000E7DAF" w14:paraId="0ECE3142" w14:textId="77777777" w:rsidTr="00EC3B45"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3C31DA1B" w14:textId="77777777" w:rsidR="001C7710" w:rsidRPr="00A07012" w:rsidRDefault="001C771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891D57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rFonts w:cs="Arial"/>
                <w:sz w:val="22"/>
                <w:szCs w:val="22"/>
                <w:lang w:val="en-GB"/>
              </w:rPr>
              <w:t>≤</w:t>
            </w:r>
            <w:r w:rsidRPr="00A07012">
              <w:rPr>
                <w:sz w:val="22"/>
                <w:szCs w:val="22"/>
                <w:lang w:val="en-GB"/>
              </w:rPr>
              <w:t xml:space="preserve"> 3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378326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-64 dBm </w:t>
            </w:r>
            <w:r w:rsidR="00275381" w:rsidRPr="00A07012">
              <w:rPr>
                <w:sz w:val="22"/>
                <w:szCs w:val="22"/>
              </w:rPr>
              <w:t>по ћелији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Pr="00A07012">
              <w:rPr>
                <w:sz w:val="22"/>
                <w:szCs w:val="22"/>
                <w:vertAlign w:val="superscript"/>
                <w:lang w:val="en-GB"/>
              </w:rPr>
              <w:t>(1)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2EAF1BE7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200 kHz </w:t>
            </w:r>
            <w:r w:rsidRPr="00A07012">
              <w:rPr>
                <w:sz w:val="22"/>
                <w:szCs w:val="22"/>
                <w:vertAlign w:val="superscript"/>
                <w:lang w:val="en-GB"/>
              </w:rPr>
              <w:t>(2)</w:t>
            </w:r>
          </w:p>
        </w:tc>
      </w:tr>
      <w:tr w:rsidR="008F4CCE" w:rsidRPr="000E7DAF" w14:paraId="3D80EC75" w14:textId="77777777" w:rsidTr="00EC3B45">
        <w:tc>
          <w:tcPr>
            <w:tcW w:w="2694" w:type="dxa"/>
            <w:shd w:val="clear" w:color="auto" w:fill="FFFFFF" w:themeFill="background1"/>
            <w:vAlign w:val="center"/>
          </w:tcPr>
          <w:p w14:paraId="17445745" w14:textId="77777777" w:rsidR="001C7710" w:rsidRPr="00A07012" w:rsidRDefault="00A07012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Р</w:t>
            </w:r>
            <w:r w:rsidR="008F4CCE" w:rsidRPr="00A07012">
              <w:rPr>
                <w:sz w:val="22"/>
                <w:szCs w:val="22"/>
              </w:rPr>
              <w:t>адио-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>фреквенције у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A07012">
              <w:rPr>
                <w:i/>
                <w:sz w:val="22"/>
                <w:szCs w:val="22"/>
                <w:lang w:val="en-GB"/>
              </w:rPr>
              <w:t>Uplink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8F4CCE" w:rsidRPr="00A07012">
              <w:rPr>
                <w:rFonts w:cs="Arial"/>
                <w:sz w:val="22"/>
                <w:szCs w:val="22"/>
                <w:lang w:eastAsia="en-GB"/>
              </w:rPr>
              <w:t xml:space="preserve">радио-фреквенцијском 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>опсегу</w:t>
            </w:r>
            <w:r w:rsidR="001C7710" w:rsidRPr="00A07012">
              <w:rPr>
                <w:sz w:val="22"/>
                <w:szCs w:val="22"/>
                <w:lang w:val="en-GB"/>
              </w:rPr>
              <w:br/>
              <w:t>832-862 MHz</w:t>
            </w:r>
          </w:p>
        </w:tc>
        <w:tc>
          <w:tcPr>
            <w:tcW w:w="1984" w:type="dxa"/>
            <w:shd w:val="clear" w:color="auto" w:fill="FFFFFF" w:themeFill="background1"/>
          </w:tcPr>
          <w:p w14:paraId="33D49E93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rFonts w:cs="Arial"/>
                <w:sz w:val="22"/>
                <w:szCs w:val="22"/>
                <w:lang w:val="en-GB"/>
              </w:rPr>
              <w:t>≥</w:t>
            </w:r>
            <w:r w:rsidRPr="00A07012">
              <w:rPr>
                <w:sz w:val="22"/>
                <w:szCs w:val="22"/>
                <w:lang w:val="en-GB"/>
              </w:rPr>
              <w:t xml:space="preserve"> 5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ED44331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-49 dBm </w:t>
            </w:r>
            <w:r w:rsidR="00275381" w:rsidRPr="00A07012">
              <w:rPr>
                <w:sz w:val="22"/>
                <w:szCs w:val="22"/>
              </w:rPr>
              <w:t>по ћелији</w:t>
            </w:r>
            <w:r w:rsidR="00275381" w:rsidRPr="00A07012">
              <w:rPr>
                <w:sz w:val="22"/>
                <w:szCs w:val="22"/>
                <w:lang w:val="en-GB"/>
              </w:rPr>
              <w:t xml:space="preserve"> </w:t>
            </w:r>
            <w:r w:rsidR="00275381" w:rsidRPr="00A07012">
              <w:rPr>
                <w:sz w:val="22"/>
                <w:szCs w:val="22"/>
                <w:vertAlign w:val="superscript"/>
                <w:lang w:val="en-GB"/>
              </w:rPr>
              <w:t>(1)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3022AE2E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8F4CCE" w:rsidRPr="000E7DAF" w14:paraId="7B07ADA4" w14:textId="77777777" w:rsidTr="00EC3B45"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15FC24DD" w14:textId="77777777" w:rsidR="001C7710" w:rsidRPr="00A07012" w:rsidRDefault="00A07012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Р</w:t>
            </w:r>
            <w:r w:rsidR="008F4CCE" w:rsidRPr="00A07012">
              <w:rPr>
                <w:sz w:val="22"/>
                <w:szCs w:val="22"/>
              </w:rPr>
              <w:t>адио-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>фреквенције у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A07012">
              <w:rPr>
                <w:i/>
                <w:sz w:val="22"/>
                <w:szCs w:val="22"/>
                <w:lang w:val="en-GB"/>
              </w:rPr>
              <w:t>Downlink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8F4CCE" w:rsidRPr="00A07012">
              <w:rPr>
                <w:rFonts w:cs="Arial"/>
                <w:sz w:val="22"/>
                <w:szCs w:val="22"/>
                <w:lang w:eastAsia="en-GB"/>
              </w:rPr>
              <w:t xml:space="preserve">радио-фреквенцијском 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>опсегу</w:t>
            </w:r>
            <w:r w:rsidR="001C7710" w:rsidRPr="00A07012">
              <w:rPr>
                <w:sz w:val="22"/>
                <w:szCs w:val="22"/>
                <w:lang w:val="en-GB"/>
              </w:rPr>
              <w:br/>
              <w:t>738-791 MHz</w:t>
            </w:r>
          </w:p>
        </w:tc>
        <w:tc>
          <w:tcPr>
            <w:tcW w:w="1984" w:type="dxa"/>
            <w:shd w:val="clear" w:color="auto" w:fill="FFFFFF" w:themeFill="background1"/>
          </w:tcPr>
          <w:p w14:paraId="051EFC65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rFonts w:cs="Arial"/>
                <w:sz w:val="22"/>
                <w:szCs w:val="22"/>
                <w:lang w:val="en-GB"/>
              </w:rPr>
              <w:t>≥</w:t>
            </w:r>
            <w:r w:rsidRPr="00A07012">
              <w:rPr>
                <w:sz w:val="22"/>
                <w:szCs w:val="22"/>
                <w:lang w:val="en-GB"/>
              </w:rPr>
              <w:t xml:space="preserve"> 5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0C55475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16 dBm </w:t>
            </w:r>
            <w:r w:rsidR="00275381"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7D45D4F5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8F4CCE" w:rsidRPr="000E7DAF" w14:paraId="728C4BD5" w14:textId="77777777" w:rsidTr="00EC3B45"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709D697B" w14:textId="77777777" w:rsidR="001C7710" w:rsidRPr="00A07012" w:rsidRDefault="001C771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1E48C17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3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7DF4AAA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14 dBm </w:t>
            </w:r>
            <w:r w:rsidR="00275381"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6C401C58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3 MHz</w:t>
            </w:r>
          </w:p>
        </w:tc>
      </w:tr>
      <w:tr w:rsidR="008F4CCE" w:rsidRPr="000E7DAF" w14:paraId="31BDC7B5" w14:textId="77777777" w:rsidTr="00EC3B45"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4631ED" w14:textId="77777777" w:rsidR="001C7710" w:rsidRPr="00A07012" w:rsidRDefault="001C771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EF61B34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rFonts w:cs="Arial"/>
                <w:sz w:val="22"/>
                <w:szCs w:val="22"/>
                <w:lang w:val="en-GB"/>
              </w:rPr>
              <w:t>&lt;</w:t>
            </w:r>
            <w:r w:rsidRPr="00A07012">
              <w:rPr>
                <w:sz w:val="22"/>
                <w:szCs w:val="22"/>
                <w:lang w:val="en-GB"/>
              </w:rPr>
              <w:t xml:space="preserve"> 3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7E6604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2 dBm </w:t>
            </w:r>
            <w:r w:rsidR="00275381"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261C9646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200 kHz</w:t>
            </w:r>
          </w:p>
        </w:tc>
      </w:tr>
      <w:tr w:rsidR="008F4CCE" w:rsidRPr="000E7DAF" w14:paraId="07D21008" w14:textId="77777777" w:rsidTr="00EC3B45">
        <w:tc>
          <w:tcPr>
            <w:tcW w:w="2694" w:type="dxa"/>
            <w:shd w:val="clear" w:color="auto" w:fill="FFFFFF" w:themeFill="background1"/>
            <w:vAlign w:val="center"/>
          </w:tcPr>
          <w:p w14:paraId="58A34125" w14:textId="77777777" w:rsidR="001C7710" w:rsidRPr="00A07012" w:rsidRDefault="00A07012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Р</w:t>
            </w:r>
            <w:r w:rsidR="008F4CCE" w:rsidRPr="00A07012">
              <w:rPr>
                <w:sz w:val="22"/>
                <w:szCs w:val="22"/>
              </w:rPr>
              <w:t>адио-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>фреквенције у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A07012">
              <w:rPr>
                <w:i/>
                <w:sz w:val="22"/>
                <w:szCs w:val="22"/>
                <w:lang w:val="en-GB"/>
              </w:rPr>
              <w:t>Downlink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8F4CCE" w:rsidRPr="00A07012">
              <w:rPr>
                <w:rFonts w:cs="Arial"/>
                <w:sz w:val="22"/>
                <w:szCs w:val="22"/>
                <w:lang w:eastAsia="en-GB"/>
              </w:rPr>
              <w:t xml:space="preserve">радио-фреквенцијском </w:t>
            </w:r>
            <w:r w:rsidR="00275381" w:rsidRPr="00A07012">
              <w:rPr>
                <w:rFonts w:cs="Arial"/>
                <w:sz w:val="22"/>
                <w:szCs w:val="22"/>
                <w:lang w:eastAsia="en-GB"/>
              </w:rPr>
              <w:t>опсегу</w:t>
            </w:r>
            <w:r w:rsidR="00275381" w:rsidRPr="00A07012">
              <w:rPr>
                <w:sz w:val="22"/>
                <w:szCs w:val="22"/>
                <w:lang w:val="en-GB"/>
              </w:rPr>
              <w:t xml:space="preserve"> </w:t>
            </w:r>
            <w:r w:rsidR="001C7710" w:rsidRPr="00A07012">
              <w:rPr>
                <w:sz w:val="22"/>
                <w:szCs w:val="22"/>
                <w:lang w:val="en-GB"/>
              </w:rPr>
              <w:t>791-821 MHz</w:t>
            </w:r>
          </w:p>
        </w:tc>
        <w:tc>
          <w:tcPr>
            <w:tcW w:w="1984" w:type="dxa"/>
            <w:shd w:val="clear" w:color="auto" w:fill="FFFFFF" w:themeFill="background1"/>
          </w:tcPr>
          <w:p w14:paraId="0A0712D8" w14:textId="77777777" w:rsidR="006419FD" w:rsidRDefault="006419FD" w:rsidP="00A07012">
            <w:pPr>
              <w:spacing w:line="288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C6A993F" w14:textId="77777777" w:rsidR="001C7710" w:rsidRPr="00A07012" w:rsidRDefault="001C7710" w:rsidP="00A07012">
            <w:pPr>
              <w:spacing w:line="288" w:lineRule="auto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07012">
              <w:rPr>
                <w:rFonts w:cs="Arial"/>
                <w:sz w:val="22"/>
                <w:szCs w:val="22"/>
                <w:lang w:val="en-GB"/>
              </w:rPr>
              <w:t>≥</w:t>
            </w:r>
            <w:r w:rsidRPr="00A07012">
              <w:rPr>
                <w:sz w:val="22"/>
                <w:szCs w:val="22"/>
                <w:lang w:val="en-GB"/>
              </w:rPr>
              <w:t xml:space="preserve"> 5 MHz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85E93E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16 dBm </w:t>
            </w:r>
            <w:r w:rsidR="00275381"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C51C3D2" w14:textId="77777777" w:rsidR="001C7710" w:rsidRPr="00A07012" w:rsidRDefault="001C7710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41084F" w:rsidRPr="000E7DAF" w14:paraId="4EBFDD51" w14:textId="77777777" w:rsidTr="00EC3B45">
        <w:tc>
          <w:tcPr>
            <w:tcW w:w="9135" w:type="dxa"/>
            <w:gridSpan w:val="4"/>
            <w:shd w:val="clear" w:color="auto" w:fill="auto"/>
            <w:vAlign w:val="center"/>
          </w:tcPr>
          <w:p w14:paraId="20BDB3FD" w14:textId="77777777" w:rsidR="0041084F" w:rsidRPr="000C1909" w:rsidRDefault="0041084F" w:rsidP="000E0D53">
            <w:pPr>
              <w:pStyle w:val="ECCTablenote"/>
            </w:pPr>
            <w:r w:rsidRPr="000C1909">
              <w:t>(1) Уколико базна станица има више сектора, максимално дозвољена израчена снага се односи на сваки од појединачних сектора</w:t>
            </w:r>
            <w:r w:rsidR="006419FD">
              <w:t>;</w:t>
            </w:r>
          </w:p>
          <w:p w14:paraId="28AEA36A" w14:textId="77777777" w:rsidR="0041084F" w:rsidRPr="00FF7234" w:rsidRDefault="0041084F" w:rsidP="00ED2341">
            <w:pPr>
              <w:pStyle w:val="ECCTablenote"/>
            </w:pPr>
            <w:r w:rsidRPr="00C46887">
              <w:t>(2)  У зависности од имплеме</w:t>
            </w:r>
            <w:r w:rsidR="008E2978">
              <w:t>н</w:t>
            </w:r>
            <w:r w:rsidRPr="00C46887">
              <w:t>тиране опције, може</w:t>
            </w:r>
            <w:r w:rsidR="002F30A1">
              <w:t xml:space="preserve"> се</w:t>
            </w:r>
            <w:r w:rsidRPr="00C46887">
              <w:t xml:space="preserve"> користити ширин</w:t>
            </w:r>
            <w:r w:rsidR="002F30A1">
              <w:t>а</w:t>
            </w:r>
            <w:r w:rsidRPr="00C46887">
              <w:t xml:space="preserve"> опсега мерења од 3 MHz ил</w:t>
            </w:r>
            <w:r w:rsidRPr="00FF7234">
              <w:t xml:space="preserve">и </w:t>
            </w:r>
            <w:r w:rsidR="00315E64">
              <w:t xml:space="preserve">од </w:t>
            </w:r>
            <w:r w:rsidRPr="00FF7234">
              <w:t xml:space="preserve">200 kHz за заштиту блока ширине 3 MHz. </w:t>
            </w:r>
          </w:p>
        </w:tc>
      </w:tr>
    </w:tbl>
    <w:p w14:paraId="319A5507" w14:textId="77777777" w:rsidR="00B61408" w:rsidRDefault="00B61408" w:rsidP="00A07012">
      <w:pPr>
        <w:rPr>
          <w:rFonts w:eastAsia="Times New Roman"/>
          <w:b/>
          <w:i/>
          <w:iCs/>
          <w:sz w:val="22"/>
          <w:szCs w:val="22"/>
        </w:rPr>
      </w:pPr>
    </w:p>
    <w:p w14:paraId="08BCB6E7" w14:textId="77777777" w:rsidR="00362364" w:rsidRDefault="00362364" w:rsidP="008A27B8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4AC168BA" w14:textId="77777777" w:rsidR="007A1323" w:rsidRDefault="008A27B8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 w:rsidRPr="005D5CB2">
        <w:rPr>
          <w:rFonts w:eastAsia="Times New Roman"/>
          <w:b/>
          <w:i/>
          <w:iCs/>
          <w:sz w:val="22"/>
          <w:szCs w:val="22"/>
        </w:rPr>
        <w:t>Табела 5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базне станице</w:t>
      </w:r>
      <w:r w:rsidR="008F4CCE">
        <w:rPr>
          <w:rFonts w:eastAsia="Times New Roman"/>
          <w:b/>
          <w:i/>
          <w:iCs/>
          <w:sz w:val="22"/>
          <w:szCs w:val="22"/>
        </w:rPr>
        <w:t xml:space="preserve"> у мобилној/фиксној комуникационој мрежи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r w:rsidR="007A1323">
        <w:rPr>
          <w:rFonts w:eastAsia="Times New Roman"/>
          <w:b/>
          <w:i/>
          <w:iCs/>
          <w:sz w:val="22"/>
          <w:szCs w:val="22"/>
        </w:rPr>
        <w:t xml:space="preserve">   </w:t>
      </w:r>
    </w:p>
    <w:p w14:paraId="78DB72DF" w14:textId="77777777" w:rsidR="00071261" w:rsidRPr="005D5CB2" w:rsidRDefault="007A1323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</w:t>
      </w:r>
      <w:r w:rsidR="005B30A2">
        <w:rPr>
          <w:rFonts w:eastAsia="Times New Roman"/>
          <w:b/>
          <w:i/>
          <w:iCs/>
          <w:sz w:val="22"/>
          <w:szCs w:val="22"/>
        </w:rPr>
        <w:t xml:space="preserve">            </w:t>
      </w:r>
      <w:r>
        <w:rPr>
          <w:rFonts w:eastAsia="Times New Roman"/>
          <w:b/>
          <w:i/>
          <w:iCs/>
          <w:sz w:val="22"/>
          <w:szCs w:val="22"/>
        </w:rPr>
        <w:t xml:space="preserve">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у </w:t>
      </w:r>
      <w:r w:rsidR="008A27B8" w:rsidRPr="005D5CB2">
        <w:rPr>
          <w:rStyle w:val="PageNumber"/>
          <w:b/>
          <w:i/>
          <w:sz w:val="22"/>
          <w:szCs w:val="22"/>
        </w:rPr>
        <w:t>прелазном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 региону унутар </w:t>
      </w:r>
      <w:r w:rsidR="008F4CCE">
        <w:rPr>
          <w:rFonts w:eastAsia="Times New Roman"/>
          <w:b/>
          <w:i/>
          <w:iCs/>
          <w:sz w:val="22"/>
          <w:szCs w:val="22"/>
        </w:rPr>
        <w:t xml:space="preserve">радио-фреквенцијског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опсега 733-788 </w:t>
      </w:r>
      <w:r w:rsidR="008A27B8" w:rsidRPr="005D5CB2">
        <w:rPr>
          <w:rFonts w:eastAsia="Times New Roman"/>
          <w:b/>
          <w:i/>
          <w:iCs/>
          <w:sz w:val="22"/>
          <w:szCs w:val="22"/>
          <w:lang w:val="en-GB"/>
        </w:rPr>
        <w:t>MHz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3828"/>
        <w:gridCol w:w="3475"/>
        <w:gridCol w:w="1832"/>
      </w:tblGrid>
      <w:tr w:rsidR="008F4CCE" w:rsidRPr="000E7DAF" w14:paraId="5056FED6" w14:textId="77777777" w:rsidTr="003976B6">
        <w:tc>
          <w:tcPr>
            <w:tcW w:w="3828" w:type="dxa"/>
            <w:shd w:val="clear" w:color="auto" w:fill="C6D9F1" w:themeFill="text2" w:themeFillTint="33"/>
            <w:vAlign w:val="center"/>
          </w:tcPr>
          <w:p w14:paraId="15D2C3E9" w14:textId="77777777" w:rsidR="00C90477" w:rsidRPr="00A07012" w:rsidRDefault="008F4CCE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Радио-ф</w:t>
            </w:r>
            <w:r w:rsidR="00C90477" w:rsidRPr="00A07012">
              <w:rPr>
                <w:rFonts w:eastAsia="Times New Roman"/>
                <w:b/>
                <w:iCs/>
                <w:sz w:val="22"/>
                <w:szCs w:val="22"/>
              </w:rPr>
              <w:t>реквенцијски опсег</w:t>
            </w:r>
          </w:p>
        </w:tc>
        <w:tc>
          <w:tcPr>
            <w:tcW w:w="3475" w:type="dxa"/>
            <w:shd w:val="clear" w:color="auto" w:fill="C6D9F1" w:themeFill="text2" w:themeFillTint="33"/>
            <w:vAlign w:val="center"/>
          </w:tcPr>
          <w:p w14:paraId="51B26E87" w14:textId="77777777" w:rsidR="00C90477" w:rsidRPr="00A07012" w:rsidRDefault="00C90477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Максимална средња </w:t>
            </w:r>
            <w:r w:rsidR="008F4CCE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еквивалентна изотропно израчена снага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</w:p>
        </w:tc>
        <w:tc>
          <w:tcPr>
            <w:tcW w:w="1832" w:type="dxa"/>
            <w:shd w:val="clear" w:color="auto" w:fill="C6D9F1" w:themeFill="text2" w:themeFillTint="33"/>
            <w:vAlign w:val="center"/>
          </w:tcPr>
          <w:p w14:paraId="45470350" w14:textId="77777777" w:rsidR="00C90477" w:rsidRPr="00A07012" w:rsidRDefault="00C90477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8F4CCE" w:rsidRPr="000E7DAF" w14:paraId="63629AD4" w14:textId="77777777" w:rsidTr="00EC3B45">
        <w:tc>
          <w:tcPr>
            <w:tcW w:w="3828" w:type="dxa"/>
            <w:vAlign w:val="center"/>
          </w:tcPr>
          <w:p w14:paraId="347B2B5D" w14:textId="77777777" w:rsidR="00C90477" w:rsidRPr="00A07012" w:rsidRDefault="00D758C4" w:rsidP="00A07012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>
              <w:rPr>
                <w:sz w:val="22"/>
                <w:szCs w:val="22"/>
              </w:rPr>
              <w:t xml:space="preserve">д 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–10 </w:t>
            </w:r>
            <w:r w:rsidR="00C90477" w:rsidRPr="00A07012">
              <w:rPr>
                <w:sz w:val="22"/>
                <w:szCs w:val="22"/>
              </w:rPr>
              <w:t>до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 –5 MHz </w:t>
            </w:r>
            <w:r w:rsidR="00C90477" w:rsidRPr="00A07012">
              <w:rPr>
                <w:sz w:val="22"/>
                <w:szCs w:val="22"/>
              </w:rPr>
              <w:t xml:space="preserve">у односу на доњу ивицу </w:t>
            </w:r>
            <w:r w:rsidR="008F4CCE" w:rsidRPr="00A07012">
              <w:rPr>
                <w:sz w:val="22"/>
                <w:szCs w:val="22"/>
              </w:rPr>
              <w:t xml:space="preserve">радио-фреквенцијског </w:t>
            </w:r>
            <w:r w:rsidR="00C90477" w:rsidRPr="00A07012">
              <w:rPr>
                <w:sz w:val="22"/>
                <w:szCs w:val="22"/>
              </w:rPr>
              <w:t>блока</w:t>
            </w:r>
          </w:p>
        </w:tc>
        <w:tc>
          <w:tcPr>
            <w:tcW w:w="3475" w:type="dxa"/>
            <w:vAlign w:val="center"/>
          </w:tcPr>
          <w:p w14:paraId="743B5D88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18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32" w:type="dxa"/>
            <w:vAlign w:val="center"/>
          </w:tcPr>
          <w:p w14:paraId="248026F0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8F4CCE" w:rsidRPr="000E7DAF" w14:paraId="0B04D7C1" w14:textId="77777777" w:rsidTr="00EC3B45">
        <w:tc>
          <w:tcPr>
            <w:tcW w:w="3828" w:type="dxa"/>
            <w:vAlign w:val="center"/>
          </w:tcPr>
          <w:p w14:paraId="58DAA875" w14:textId="77777777" w:rsidR="00C90477" w:rsidRPr="00A07012" w:rsidRDefault="00D758C4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Од 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–5 </w:t>
            </w:r>
            <w:r w:rsidR="00C90477" w:rsidRPr="00A07012">
              <w:rPr>
                <w:sz w:val="22"/>
                <w:szCs w:val="22"/>
              </w:rPr>
              <w:t>до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 0 MHz </w:t>
            </w:r>
            <w:r w:rsidR="00C90477" w:rsidRPr="00A07012">
              <w:rPr>
                <w:sz w:val="22"/>
                <w:szCs w:val="22"/>
              </w:rPr>
              <w:t xml:space="preserve">у односу на доњу ивицу </w:t>
            </w:r>
            <w:r w:rsidR="008F4CCE" w:rsidRPr="00A07012">
              <w:rPr>
                <w:sz w:val="22"/>
                <w:szCs w:val="22"/>
              </w:rPr>
              <w:t xml:space="preserve">радио-фреквенцијског </w:t>
            </w:r>
            <w:r w:rsidR="00C90477" w:rsidRPr="00A07012">
              <w:rPr>
                <w:sz w:val="22"/>
                <w:szCs w:val="22"/>
              </w:rPr>
              <w:t>блока</w:t>
            </w:r>
          </w:p>
        </w:tc>
        <w:tc>
          <w:tcPr>
            <w:tcW w:w="3475" w:type="dxa"/>
            <w:vAlign w:val="center"/>
          </w:tcPr>
          <w:p w14:paraId="577D6A7E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22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32" w:type="dxa"/>
            <w:vAlign w:val="center"/>
          </w:tcPr>
          <w:p w14:paraId="016B4363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8F4CCE" w:rsidRPr="000E7DAF" w14:paraId="1295594E" w14:textId="77777777" w:rsidTr="00EC3B45">
        <w:tc>
          <w:tcPr>
            <w:tcW w:w="3828" w:type="dxa"/>
            <w:vAlign w:val="center"/>
          </w:tcPr>
          <w:p w14:paraId="53D5AFBA" w14:textId="77777777" w:rsidR="00C90477" w:rsidRPr="00A07012" w:rsidRDefault="00D758C4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Од 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0 </w:t>
            </w:r>
            <w:r w:rsidR="00C90477" w:rsidRPr="00A07012">
              <w:rPr>
                <w:sz w:val="22"/>
                <w:szCs w:val="22"/>
              </w:rPr>
              <w:t>до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 +5 MHz </w:t>
            </w:r>
            <w:r w:rsidR="00C90477" w:rsidRPr="00A07012">
              <w:rPr>
                <w:sz w:val="22"/>
                <w:szCs w:val="22"/>
              </w:rPr>
              <w:t xml:space="preserve">у односу на горњу ивицу </w:t>
            </w:r>
            <w:r w:rsidR="008F4CCE" w:rsidRPr="00A07012">
              <w:rPr>
                <w:sz w:val="22"/>
                <w:szCs w:val="22"/>
              </w:rPr>
              <w:t xml:space="preserve">радио-фреквенцијског </w:t>
            </w:r>
            <w:r w:rsidR="00C90477" w:rsidRPr="00A07012">
              <w:rPr>
                <w:sz w:val="22"/>
                <w:szCs w:val="22"/>
              </w:rPr>
              <w:t>блока</w:t>
            </w:r>
          </w:p>
        </w:tc>
        <w:tc>
          <w:tcPr>
            <w:tcW w:w="3475" w:type="dxa"/>
            <w:vAlign w:val="center"/>
          </w:tcPr>
          <w:p w14:paraId="47C342C8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22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32" w:type="dxa"/>
            <w:vAlign w:val="center"/>
          </w:tcPr>
          <w:p w14:paraId="28E5CA79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8F4CCE" w:rsidRPr="000E7DAF" w14:paraId="16D07C1C" w14:textId="77777777" w:rsidTr="00EC3B45">
        <w:tc>
          <w:tcPr>
            <w:tcW w:w="3828" w:type="dxa"/>
            <w:vAlign w:val="center"/>
          </w:tcPr>
          <w:p w14:paraId="068FB48B" w14:textId="77777777" w:rsidR="00C90477" w:rsidRPr="00A07012" w:rsidRDefault="00D758C4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Од 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+5 </w:t>
            </w:r>
            <w:r w:rsidR="00C90477" w:rsidRPr="00A07012">
              <w:rPr>
                <w:sz w:val="22"/>
                <w:szCs w:val="22"/>
              </w:rPr>
              <w:t>до</w:t>
            </w:r>
            <w:r w:rsidR="00C90477" w:rsidRPr="00A07012">
              <w:rPr>
                <w:sz w:val="22"/>
                <w:szCs w:val="22"/>
                <w:lang w:val="en-GB"/>
              </w:rPr>
              <w:t xml:space="preserve"> +10 MHz </w:t>
            </w:r>
            <w:r w:rsidR="00C90477" w:rsidRPr="00A07012">
              <w:rPr>
                <w:sz w:val="22"/>
                <w:szCs w:val="22"/>
              </w:rPr>
              <w:t xml:space="preserve">у односу на горњу ивицу </w:t>
            </w:r>
            <w:r w:rsidR="008F4CCE" w:rsidRPr="00A07012">
              <w:rPr>
                <w:sz w:val="22"/>
                <w:szCs w:val="22"/>
              </w:rPr>
              <w:t xml:space="preserve">радио-фреквенцијског </w:t>
            </w:r>
            <w:r w:rsidR="00C90477" w:rsidRPr="00A07012">
              <w:rPr>
                <w:sz w:val="22"/>
                <w:szCs w:val="22"/>
              </w:rPr>
              <w:t>блока</w:t>
            </w:r>
          </w:p>
        </w:tc>
        <w:tc>
          <w:tcPr>
            <w:tcW w:w="3475" w:type="dxa"/>
            <w:vAlign w:val="center"/>
          </w:tcPr>
          <w:p w14:paraId="520DFC9B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18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32" w:type="dxa"/>
            <w:vAlign w:val="center"/>
          </w:tcPr>
          <w:p w14:paraId="7DA0A46A" w14:textId="77777777" w:rsidR="00C90477" w:rsidRPr="00A07012" w:rsidRDefault="00C9047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</w:tbl>
    <w:p w14:paraId="5735EC8D" w14:textId="77777777" w:rsidR="00B61408" w:rsidRDefault="00B61408" w:rsidP="00A07012">
      <w:pPr>
        <w:rPr>
          <w:rFonts w:eastAsia="Times New Roman"/>
          <w:b/>
          <w:i/>
          <w:iCs/>
          <w:sz w:val="22"/>
          <w:szCs w:val="22"/>
        </w:rPr>
      </w:pPr>
    </w:p>
    <w:p w14:paraId="4AC0C7C5" w14:textId="77777777" w:rsidR="00362364" w:rsidRDefault="00362364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60BCB5A5" w14:textId="77777777" w:rsidR="00E50182" w:rsidRDefault="00E5018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4291560E" w14:textId="77777777" w:rsidR="00E50182" w:rsidRDefault="00E5018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5C9F2C21" w14:textId="77777777" w:rsidR="00362364" w:rsidRDefault="00362364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616CCE0B" w14:textId="77777777" w:rsidR="007A1323" w:rsidRDefault="008A27B8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Табела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6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базне станице</w:t>
      </w:r>
      <w:r w:rsidR="008F4CCE">
        <w:rPr>
          <w:rFonts w:eastAsia="Times New Roman"/>
          <w:b/>
          <w:i/>
          <w:iCs/>
          <w:sz w:val="22"/>
          <w:szCs w:val="22"/>
        </w:rPr>
        <w:t xml:space="preserve"> у мобилној/фиксној комуникационој мрежи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</w:p>
    <w:p w14:paraId="262976F5" w14:textId="77777777" w:rsidR="00C90477" w:rsidRPr="005D5CB2" w:rsidRDefault="007A1323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у </w:t>
      </w:r>
      <w:r w:rsidR="008A27B8" w:rsidRPr="005D5CB2">
        <w:rPr>
          <w:rStyle w:val="PageNumber"/>
          <w:b/>
          <w:i/>
          <w:sz w:val="22"/>
          <w:szCs w:val="22"/>
        </w:rPr>
        <w:t>прелазном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 региону изнад 788 </w:t>
      </w:r>
      <w:r w:rsidR="008A27B8" w:rsidRPr="005D5CB2">
        <w:rPr>
          <w:rFonts w:eastAsia="Times New Roman"/>
          <w:b/>
          <w:i/>
          <w:iCs/>
          <w:sz w:val="22"/>
          <w:szCs w:val="22"/>
          <w:lang w:val="en-GB"/>
        </w:rPr>
        <w:t>MHz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3828"/>
        <w:gridCol w:w="3425"/>
        <w:gridCol w:w="1842"/>
      </w:tblGrid>
      <w:tr w:rsidR="00C84290" w:rsidRPr="000E7DAF" w14:paraId="111055A8" w14:textId="77777777" w:rsidTr="003976B6">
        <w:trPr>
          <w:jc w:val="center"/>
        </w:trPr>
        <w:tc>
          <w:tcPr>
            <w:tcW w:w="3828" w:type="dxa"/>
            <w:shd w:val="clear" w:color="auto" w:fill="C6D9F1" w:themeFill="text2" w:themeFillTint="33"/>
            <w:vAlign w:val="center"/>
          </w:tcPr>
          <w:p w14:paraId="1FC54B41" w14:textId="77777777" w:rsidR="00C84290" w:rsidRPr="00A07012" w:rsidRDefault="008F4CCE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Радио-ф</w:t>
            </w:r>
            <w:r w:rsidR="00C84290" w:rsidRPr="00A07012">
              <w:rPr>
                <w:rFonts w:eastAsia="Times New Roman"/>
                <w:b/>
                <w:iCs/>
                <w:sz w:val="22"/>
                <w:szCs w:val="22"/>
              </w:rPr>
              <w:t>реквенцијски опсег</w:t>
            </w:r>
          </w:p>
        </w:tc>
        <w:tc>
          <w:tcPr>
            <w:tcW w:w="3425" w:type="dxa"/>
            <w:shd w:val="clear" w:color="auto" w:fill="C6D9F1" w:themeFill="text2" w:themeFillTint="33"/>
            <w:vAlign w:val="center"/>
          </w:tcPr>
          <w:p w14:paraId="6EE4C391" w14:textId="77777777" w:rsidR="00C84290" w:rsidRPr="00A07012" w:rsidRDefault="00C84290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Максимална средња </w:t>
            </w:r>
            <w:r w:rsidR="008F4CCE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еквивалентна изотропно израчена снага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592F9267" w14:textId="77777777" w:rsidR="00C84290" w:rsidRPr="00A07012" w:rsidRDefault="00C84290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C84290" w:rsidRPr="000E7DAF" w14:paraId="2D82C164" w14:textId="77777777" w:rsidTr="00EC3B45">
        <w:trPr>
          <w:jc w:val="center"/>
        </w:trPr>
        <w:tc>
          <w:tcPr>
            <w:tcW w:w="3828" w:type="dxa"/>
            <w:vAlign w:val="center"/>
          </w:tcPr>
          <w:p w14:paraId="3AB2D883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791-796 MHz </w:t>
            </w:r>
            <w:r w:rsidRPr="00A07012">
              <w:rPr>
                <w:sz w:val="22"/>
                <w:szCs w:val="22"/>
              </w:rPr>
              <w:t xml:space="preserve">за </w:t>
            </w:r>
            <w:r w:rsidR="008F4CCE" w:rsidRPr="00A07012">
              <w:rPr>
                <w:sz w:val="22"/>
                <w:szCs w:val="22"/>
              </w:rPr>
              <w:t xml:space="preserve">радио-фреквенцијски </w:t>
            </w:r>
            <w:r w:rsidRPr="00A07012">
              <w:rPr>
                <w:sz w:val="22"/>
                <w:szCs w:val="22"/>
              </w:rPr>
              <w:t>блок са горњом ивицом на</w:t>
            </w:r>
            <w:r w:rsidRPr="00A07012">
              <w:rPr>
                <w:sz w:val="22"/>
                <w:szCs w:val="22"/>
                <w:lang w:val="en-GB"/>
              </w:rPr>
              <w:t xml:space="preserve"> 788 MHz</w:t>
            </w:r>
          </w:p>
        </w:tc>
        <w:tc>
          <w:tcPr>
            <w:tcW w:w="3425" w:type="dxa"/>
            <w:vAlign w:val="center"/>
          </w:tcPr>
          <w:p w14:paraId="7A28E231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19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42" w:type="dxa"/>
            <w:vAlign w:val="center"/>
          </w:tcPr>
          <w:p w14:paraId="0D7A7262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C84290" w:rsidRPr="000E7DAF" w14:paraId="6B1D8A76" w14:textId="77777777" w:rsidTr="00EC3B45">
        <w:trPr>
          <w:jc w:val="center"/>
        </w:trPr>
        <w:tc>
          <w:tcPr>
            <w:tcW w:w="3828" w:type="dxa"/>
            <w:vAlign w:val="center"/>
          </w:tcPr>
          <w:p w14:paraId="0C41DE1E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791-796 MHz </w:t>
            </w:r>
            <w:r w:rsidRPr="00A07012">
              <w:rPr>
                <w:sz w:val="22"/>
                <w:szCs w:val="22"/>
              </w:rPr>
              <w:t xml:space="preserve">за </w:t>
            </w:r>
            <w:r w:rsidR="008F4CCE" w:rsidRPr="00A07012">
              <w:rPr>
                <w:sz w:val="22"/>
                <w:szCs w:val="22"/>
              </w:rPr>
              <w:t xml:space="preserve">радио-фреквенцијски </w:t>
            </w:r>
            <w:r w:rsidRPr="00A07012">
              <w:rPr>
                <w:sz w:val="22"/>
                <w:szCs w:val="22"/>
              </w:rPr>
              <w:t>блок са горњом ивицом на</w:t>
            </w:r>
            <w:r w:rsidRPr="00A07012">
              <w:rPr>
                <w:sz w:val="22"/>
                <w:szCs w:val="22"/>
                <w:lang w:val="en-GB"/>
              </w:rPr>
              <w:t xml:space="preserve"> 783 MHz</w:t>
            </w:r>
          </w:p>
        </w:tc>
        <w:tc>
          <w:tcPr>
            <w:tcW w:w="3425" w:type="dxa"/>
            <w:vAlign w:val="center"/>
          </w:tcPr>
          <w:p w14:paraId="55F2CEA2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17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42" w:type="dxa"/>
            <w:vAlign w:val="center"/>
          </w:tcPr>
          <w:p w14:paraId="5EEDFD5C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C84290" w:rsidRPr="000E7DAF" w14:paraId="263B6953" w14:textId="77777777" w:rsidTr="00EC3B45">
        <w:trPr>
          <w:jc w:val="center"/>
        </w:trPr>
        <w:tc>
          <w:tcPr>
            <w:tcW w:w="3828" w:type="dxa"/>
            <w:vAlign w:val="center"/>
          </w:tcPr>
          <w:p w14:paraId="6755BB1D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796-801 MHz </w:t>
            </w:r>
            <w:r w:rsidRPr="00A07012">
              <w:rPr>
                <w:sz w:val="22"/>
                <w:szCs w:val="22"/>
              </w:rPr>
              <w:t xml:space="preserve">за </w:t>
            </w:r>
            <w:r w:rsidR="008F4CCE" w:rsidRPr="00A07012">
              <w:rPr>
                <w:sz w:val="22"/>
                <w:szCs w:val="22"/>
              </w:rPr>
              <w:t xml:space="preserve">радио-фреквенцијски </w:t>
            </w:r>
            <w:r w:rsidRPr="00A07012">
              <w:rPr>
                <w:sz w:val="22"/>
                <w:szCs w:val="22"/>
              </w:rPr>
              <w:t>блок са горњом ивицом на</w:t>
            </w:r>
            <w:r w:rsidRPr="00A07012">
              <w:rPr>
                <w:sz w:val="22"/>
                <w:szCs w:val="22"/>
                <w:lang w:val="en-GB"/>
              </w:rPr>
              <w:t xml:space="preserve"> 788 MHz</w:t>
            </w:r>
          </w:p>
        </w:tc>
        <w:tc>
          <w:tcPr>
            <w:tcW w:w="3425" w:type="dxa"/>
            <w:vAlign w:val="center"/>
          </w:tcPr>
          <w:p w14:paraId="5EF83740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17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42" w:type="dxa"/>
            <w:vAlign w:val="center"/>
          </w:tcPr>
          <w:p w14:paraId="736C8BC8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C84290" w:rsidRPr="000E7DAF" w14:paraId="4B03C7ED" w14:textId="77777777" w:rsidTr="00EC3B45">
        <w:trPr>
          <w:jc w:val="center"/>
        </w:trPr>
        <w:tc>
          <w:tcPr>
            <w:tcW w:w="3828" w:type="dxa"/>
            <w:vAlign w:val="center"/>
          </w:tcPr>
          <w:p w14:paraId="50445DC2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788-791 MHz </w:t>
            </w:r>
            <w:r w:rsidRPr="00A07012">
              <w:rPr>
                <w:sz w:val="22"/>
                <w:szCs w:val="22"/>
              </w:rPr>
              <w:t xml:space="preserve">за </w:t>
            </w:r>
            <w:r w:rsidR="008F4CCE" w:rsidRPr="00A07012">
              <w:rPr>
                <w:sz w:val="22"/>
                <w:szCs w:val="22"/>
              </w:rPr>
              <w:t xml:space="preserve">радио-фреквенцијски </w:t>
            </w:r>
            <w:r w:rsidRPr="00A07012">
              <w:rPr>
                <w:sz w:val="22"/>
                <w:szCs w:val="22"/>
              </w:rPr>
              <w:t>блок са горњом ивицом на</w:t>
            </w:r>
            <w:r w:rsidRPr="00A07012">
              <w:rPr>
                <w:sz w:val="22"/>
                <w:szCs w:val="22"/>
                <w:lang w:val="en-GB"/>
              </w:rPr>
              <w:t xml:space="preserve"> 788 MHz</w:t>
            </w:r>
          </w:p>
        </w:tc>
        <w:tc>
          <w:tcPr>
            <w:tcW w:w="3425" w:type="dxa"/>
            <w:vAlign w:val="center"/>
          </w:tcPr>
          <w:p w14:paraId="69CDB5B0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21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42" w:type="dxa"/>
            <w:vAlign w:val="center"/>
          </w:tcPr>
          <w:p w14:paraId="13C01574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3 MHz</w:t>
            </w:r>
          </w:p>
        </w:tc>
      </w:tr>
      <w:tr w:rsidR="00C84290" w:rsidRPr="000E7DAF" w14:paraId="4AB84DED" w14:textId="77777777" w:rsidTr="00EC3B45">
        <w:trPr>
          <w:jc w:val="center"/>
        </w:trPr>
        <w:tc>
          <w:tcPr>
            <w:tcW w:w="3828" w:type="dxa"/>
            <w:vAlign w:val="center"/>
          </w:tcPr>
          <w:p w14:paraId="6B199F32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788-791 MHz </w:t>
            </w:r>
            <w:r w:rsidRPr="00A07012">
              <w:rPr>
                <w:sz w:val="22"/>
                <w:szCs w:val="22"/>
              </w:rPr>
              <w:t xml:space="preserve">за </w:t>
            </w:r>
            <w:r w:rsidR="008F4CCE" w:rsidRPr="00A07012">
              <w:rPr>
                <w:sz w:val="22"/>
                <w:szCs w:val="22"/>
              </w:rPr>
              <w:t xml:space="preserve">радио-фреквенцијски </w:t>
            </w:r>
            <w:r w:rsidRPr="00A07012">
              <w:rPr>
                <w:sz w:val="22"/>
                <w:szCs w:val="22"/>
              </w:rPr>
              <w:t>блок са горњом ивицом на</w:t>
            </w:r>
            <w:r w:rsidRPr="00A07012">
              <w:rPr>
                <w:sz w:val="22"/>
                <w:szCs w:val="22"/>
                <w:lang w:val="en-GB"/>
              </w:rPr>
              <w:t xml:space="preserve"> 783 MHz</w:t>
            </w:r>
          </w:p>
        </w:tc>
        <w:tc>
          <w:tcPr>
            <w:tcW w:w="3425" w:type="dxa"/>
            <w:vAlign w:val="center"/>
          </w:tcPr>
          <w:p w14:paraId="50FD21AC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16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42" w:type="dxa"/>
            <w:vAlign w:val="center"/>
          </w:tcPr>
          <w:p w14:paraId="1A019B87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3 MHz</w:t>
            </w:r>
          </w:p>
        </w:tc>
      </w:tr>
      <w:tr w:rsidR="00C84290" w:rsidRPr="000E7DAF" w14:paraId="58374917" w14:textId="77777777" w:rsidTr="00EC3B45">
        <w:trPr>
          <w:jc w:val="center"/>
        </w:trPr>
        <w:tc>
          <w:tcPr>
            <w:tcW w:w="3828" w:type="dxa"/>
            <w:vAlign w:val="center"/>
          </w:tcPr>
          <w:p w14:paraId="1B926CAB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788-791 MHz </w:t>
            </w:r>
            <w:r w:rsidRPr="00A07012">
              <w:rPr>
                <w:sz w:val="22"/>
                <w:szCs w:val="22"/>
              </w:rPr>
              <w:t xml:space="preserve">за </w:t>
            </w:r>
            <w:r w:rsidR="008F4CCE" w:rsidRPr="00A07012">
              <w:rPr>
                <w:sz w:val="22"/>
                <w:szCs w:val="22"/>
              </w:rPr>
              <w:t xml:space="preserve">радио-фреквенцијски </w:t>
            </w:r>
            <w:r w:rsidRPr="00A07012">
              <w:rPr>
                <w:sz w:val="22"/>
                <w:szCs w:val="22"/>
              </w:rPr>
              <w:t>блок са горњом ивицом на</w:t>
            </w:r>
            <w:r w:rsidRPr="00A07012">
              <w:rPr>
                <w:sz w:val="22"/>
                <w:szCs w:val="22"/>
                <w:lang w:val="en-GB"/>
              </w:rPr>
              <w:t xml:space="preserve"> 788 MHz </w:t>
            </w:r>
            <w:r w:rsidRPr="00A07012">
              <w:rPr>
                <w:sz w:val="22"/>
                <w:szCs w:val="22"/>
              </w:rPr>
              <w:t>за заштиту система са ширином опсега</w:t>
            </w:r>
            <w:r w:rsidRPr="00A07012">
              <w:rPr>
                <w:sz w:val="22"/>
                <w:szCs w:val="22"/>
                <w:lang w:val="en-GB"/>
              </w:rPr>
              <w:t xml:space="preserve"> &lt; 3 MHz</w:t>
            </w:r>
          </w:p>
        </w:tc>
        <w:tc>
          <w:tcPr>
            <w:tcW w:w="3425" w:type="dxa"/>
            <w:vAlign w:val="center"/>
          </w:tcPr>
          <w:p w14:paraId="5B5FA15A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11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42" w:type="dxa"/>
            <w:vAlign w:val="center"/>
          </w:tcPr>
          <w:p w14:paraId="7EBDF39A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200 kHz</w:t>
            </w:r>
          </w:p>
        </w:tc>
      </w:tr>
      <w:tr w:rsidR="00C84290" w:rsidRPr="000E7DAF" w14:paraId="3C1FE333" w14:textId="77777777" w:rsidTr="00EC3B45">
        <w:trPr>
          <w:jc w:val="center"/>
        </w:trPr>
        <w:tc>
          <w:tcPr>
            <w:tcW w:w="3828" w:type="dxa"/>
            <w:vAlign w:val="center"/>
          </w:tcPr>
          <w:p w14:paraId="5BFBD1CB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788-791 MHz </w:t>
            </w:r>
            <w:r w:rsidRPr="00A07012">
              <w:rPr>
                <w:sz w:val="22"/>
                <w:szCs w:val="22"/>
              </w:rPr>
              <w:t>за</w:t>
            </w:r>
            <w:r w:rsidR="008F4CCE" w:rsidRPr="00A07012">
              <w:rPr>
                <w:sz w:val="22"/>
                <w:szCs w:val="22"/>
              </w:rPr>
              <w:t xml:space="preserve"> радио-фреквенцијски</w:t>
            </w:r>
            <w:r w:rsidRPr="00A07012">
              <w:rPr>
                <w:sz w:val="22"/>
                <w:szCs w:val="22"/>
              </w:rPr>
              <w:t xml:space="preserve"> блок са горњом ивицом на</w:t>
            </w:r>
            <w:r w:rsidRPr="00A07012">
              <w:rPr>
                <w:sz w:val="22"/>
                <w:szCs w:val="22"/>
                <w:lang w:val="en-GB"/>
              </w:rPr>
              <w:t xml:space="preserve"> 783 MHz </w:t>
            </w:r>
            <w:r w:rsidRPr="00A07012">
              <w:rPr>
                <w:sz w:val="22"/>
                <w:szCs w:val="22"/>
              </w:rPr>
              <w:t>за заштиту система са ширином опсега</w:t>
            </w:r>
            <w:r w:rsidRPr="00A07012">
              <w:rPr>
                <w:sz w:val="22"/>
                <w:szCs w:val="22"/>
                <w:lang w:val="en-GB"/>
              </w:rPr>
              <w:t xml:space="preserve"> &lt; 3 MHz</w:t>
            </w:r>
          </w:p>
        </w:tc>
        <w:tc>
          <w:tcPr>
            <w:tcW w:w="3425" w:type="dxa"/>
            <w:vAlign w:val="center"/>
          </w:tcPr>
          <w:p w14:paraId="66AC3BCD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4 dBm </w:t>
            </w:r>
            <w:r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842" w:type="dxa"/>
            <w:vAlign w:val="center"/>
          </w:tcPr>
          <w:p w14:paraId="787F0641" w14:textId="77777777" w:rsidR="00C84290" w:rsidRPr="00A07012" w:rsidRDefault="00C84290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200 kHz</w:t>
            </w:r>
          </w:p>
        </w:tc>
      </w:tr>
    </w:tbl>
    <w:p w14:paraId="2E5BF179" w14:textId="77777777" w:rsidR="00C90477" w:rsidRPr="000E7DAF" w:rsidRDefault="00C90477" w:rsidP="00A07012">
      <w:pPr>
        <w:ind w:firstLine="450"/>
        <w:jc w:val="both"/>
        <w:rPr>
          <w:rFonts w:eastAsia="Times New Roman"/>
          <w:i/>
          <w:iCs/>
          <w:sz w:val="22"/>
          <w:szCs w:val="22"/>
        </w:rPr>
      </w:pPr>
    </w:p>
    <w:p w14:paraId="184B6F8C" w14:textId="77777777" w:rsidR="00362364" w:rsidRDefault="00362364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2103175E" w14:textId="77777777" w:rsidR="007B61B9" w:rsidRPr="007B61B9" w:rsidRDefault="007B61B9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</w:p>
    <w:p w14:paraId="0EA42BE5" w14:textId="77777777" w:rsidR="00ED057D" w:rsidRDefault="008A27B8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Табела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7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базне станице</w:t>
      </w:r>
      <w:r w:rsidR="008F4CCE">
        <w:rPr>
          <w:rFonts w:eastAsia="Times New Roman"/>
          <w:b/>
          <w:i/>
          <w:iCs/>
          <w:sz w:val="22"/>
          <w:szCs w:val="22"/>
        </w:rPr>
        <w:t xml:space="preserve"> у мобилној/фиксној комуникационој мрежи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r w:rsidR="00ED057D">
        <w:rPr>
          <w:rFonts w:eastAsia="Times New Roman"/>
          <w:b/>
          <w:i/>
          <w:iCs/>
          <w:sz w:val="22"/>
          <w:szCs w:val="22"/>
        </w:rPr>
        <w:t xml:space="preserve">  </w:t>
      </w:r>
    </w:p>
    <w:p w14:paraId="4B34B340" w14:textId="77777777" w:rsidR="00C90477" w:rsidRPr="005D5CB2" w:rsidRDefault="00ED057D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у делу </w:t>
      </w:r>
      <w:r w:rsidR="008A27B8" w:rsidRPr="005D5CB2">
        <w:rPr>
          <w:b/>
          <w:i/>
          <w:sz w:val="22"/>
          <w:szCs w:val="22"/>
        </w:rPr>
        <w:t xml:space="preserve">FDD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дуплексног размака </w:t>
      </w:r>
      <w:r w:rsidR="008A27B8" w:rsidRPr="005D5CB2">
        <w:rPr>
          <w:b/>
          <w:i/>
          <w:sz w:val="22"/>
          <w:szCs w:val="22"/>
        </w:rPr>
        <w:t>који се не користи за SDL, PPDR или M2M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103"/>
        <w:gridCol w:w="2552"/>
        <w:gridCol w:w="1417"/>
      </w:tblGrid>
      <w:tr w:rsidR="00907464" w:rsidRPr="004B0810" w14:paraId="69B6B70D" w14:textId="77777777" w:rsidTr="003976B6">
        <w:tc>
          <w:tcPr>
            <w:tcW w:w="5103" w:type="dxa"/>
            <w:shd w:val="clear" w:color="auto" w:fill="C6D9F1" w:themeFill="text2" w:themeFillTint="33"/>
            <w:vAlign w:val="center"/>
          </w:tcPr>
          <w:p w14:paraId="3FCD8DE5" w14:textId="77777777" w:rsidR="00907464" w:rsidRPr="00A07012" w:rsidRDefault="008F4CCE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Радио-ф</w:t>
            </w:r>
            <w:r w:rsidR="00907464" w:rsidRPr="00A07012">
              <w:rPr>
                <w:rFonts w:eastAsia="Times New Roman"/>
                <w:b/>
                <w:iCs/>
                <w:sz w:val="22"/>
                <w:szCs w:val="22"/>
              </w:rPr>
              <w:t>реквенцијски опсег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4BC95665" w14:textId="77777777" w:rsidR="00907464" w:rsidRPr="00A07012" w:rsidRDefault="00907464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Максимална средња </w:t>
            </w:r>
            <w:r w:rsidR="008F4CCE" w:rsidRPr="00A07012">
              <w:rPr>
                <w:rFonts w:eastAsia="Times New Roman"/>
                <w:b/>
                <w:iCs/>
                <w:sz w:val="22"/>
                <w:szCs w:val="22"/>
              </w:rPr>
              <w:t>еквивале</w:t>
            </w:r>
            <w:r w:rsidR="008E2978">
              <w:rPr>
                <w:rFonts w:eastAsia="Times New Roman"/>
                <w:b/>
                <w:iCs/>
                <w:sz w:val="22"/>
                <w:szCs w:val="22"/>
              </w:rPr>
              <w:t>н</w:t>
            </w:r>
            <w:r w:rsidR="008F4CCE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тна изотропно израчена снага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604301F" w14:textId="77777777" w:rsidR="00907464" w:rsidRPr="00A07012" w:rsidRDefault="00907464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907464" w:rsidRPr="004B0810" w14:paraId="0B2BB0EB" w14:textId="77777777" w:rsidTr="00EC3B45">
        <w:tc>
          <w:tcPr>
            <w:tcW w:w="5103" w:type="dxa"/>
            <w:vAlign w:val="center"/>
          </w:tcPr>
          <w:p w14:paraId="21996ADB" w14:textId="77777777" w:rsidR="00907464" w:rsidRPr="00A07012" w:rsidRDefault="00F13D0E" w:rsidP="00A07012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 </w:t>
            </w:r>
            <w:r w:rsidR="00907464" w:rsidRPr="00A07012">
              <w:rPr>
                <w:sz w:val="22"/>
                <w:szCs w:val="22"/>
                <w:lang w:val="en-GB"/>
              </w:rPr>
              <w:t xml:space="preserve">-10 </w:t>
            </w:r>
            <w:r w:rsidR="00F401B9" w:rsidRPr="00A07012">
              <w:rPr>
                <w:sz w:val="22"/>
                <w:szCs w:val="22"/>
              </w:rPr>
              <w:t>до</w:t>
            </w:r>
            <w:r w:rsidR="00907464" w:rsidRPr="00A07012">
              <w:rPr>
                <w:sz w:val="22"/>
                <w:szCs w:val="22"/>
                <w:lang w:val="en-GB"/>
              </w:rPr>
              <w:t xml:space="preserve"> 0 MHz </w:t>
            </w:r>
            <w:r w:rsidR="00F401B9" w:rsidRPr="00A07012">
              <w:rPr>
                <w:sz w:val="22"/>
                <w:szCs w:val="22"/>
              </w:rPr>
              <w:t>у односу на доњу ивицу</w:t>
            </w:r>
            <w:r w:rsidR="00907464" w:rsidRPr="00A07012">
              <w:rPr>
                <w:sz w:val="22"/>
                <w:szCs w:val="22"/>
                <w:lang w:val="en-GB"/>
              </w:rPr>
              <w:t xml:space="preserve"> </w:t>
            </w:r>
            <w:r w:rsidR="00F401B9" w:rsidRPr="00A07012">
              <w:rPr>
                <w:i/>
                <w:sz w:val="22"/>
                <w:szCs w:val="22"/>
                <w:lang w:val="en-GB"/>
              </w:rPr>
              <w:t>Downlink</w:t>
            </w:r>
            <w:r w:rsidR="00F401B9" w:rsidRPr="00A07012">
              <w:rPr>
                <w:sz w:val="22"/>
                <w:szCs w:val="22"/>
              </w:rPr>
              <w:t xml:space="preserve"> </w:t>
            </w:r>
            <w:r w:rsidR="00ED0C12" w:rsidRPr="0002739C">
              <w:rPr>
                <w:sz w:val="22"/>
                <w:szCs w:val="22"/>
              </w:rPr>
              <w:t xml:space="preserve">радио-фреквенцијског </w:t>
            </w:r>
            <w:r w:rsidR="00F401B9" w:rsidRPr="00A07012">
              <w:rPr>
                <w:sz w:val="22"/>
                <w:szCs w:val="22"/>
              </w:rPr>
              <w:t>опсега</w:t>
            </w:r>
            <w:r w:rsidR="00907464" w:rsidRPr="00A07012">
              <w:rPr>
                <w:sz w:val="22"/>
                <w:szCs w:val="22"/>
                <w:lang w:val="en-GB"/>
              </w:rPr>
              <w:t xml:space="preserve"> </w:t>
            </w:r>
            <w:r w:rsidR="00F401B9" w:rsidRPr="00A07012">
              <w:rPr>
                <w:sz w:val="22"/>
                <w:szCs w:val="22"/>
              </w:rPr>
              <w:t>или доњу ивицу најнижег</w:t>
            </w:r>
            <w:r w:rsidR="00F401B9"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SDL </w:t>
            </w:r>
            <w:r w:rsidR="00F401B9" w:rsidRPr="00A07012">
              <w:rPr>
                <w:rFonts w:eastAsia="MS Mincho" w:cs="Arial"/>
                <w:sz w:val="22"/>
                <w:szCs w:val="22"/>
                <w:lang w:eastAsia="ja-JP"/>
              </w:rPr>
              <w:t>блока</w:t>
            </w:r>
            <w:r w:rsidR="00907464" w:rsidRPr="00A07012">
              <w:rPr>
                <w:sz w:val="22"/>
                <w:szCs w:val="22"/>
                <w:lang w:val="en-GB"/>
              </w:rPr>
              <w:t xml:space="preserve">, </w:t>
            </w:r>
            <w:r w:rsidR="00F401B9" w:rsidRPr="00A07012">
              <w:rPr>
                <w:sz w:val="22"/>
                <w:szCs w:val="22"/>
              </w:rPr>
              <w:t xml:space="preserve">али изнад горње ивице </w:t>
            </w:r>
            <w:r w:rsidR="00F401B9" w:rsidRPr="00A07012">
              <w:rPr>
                <w:i/>
                <w:sz w:val="22"/>
                <w:szCs w:val="22"/>
                <w:lang w:val="en-GB"/>
              </w:rPr>
              <w:t>U</w:t>
            </w:r>
            <w:r w:rsidR="00907464" w:rsidRPr="00A07012">
              <w:rPr>
                <w:i/>
                <w:sz w:val="22"/>
                <w:szCs w:val="22"/>
                <w:lang w:val="en-GB"/>
              </w:rPr>
              <w:t>plink</w:t>
            </w:r>
            <w:r w:rsidR="00907464" w:rsidRPr="00A07012">
              <w:rPr>
                <w:sz w:val="22"/>
                <w:szCs w:val="22"/>
                <w:lang w:val="en-GB"/>
              </w:rPr>
              <w:t xml:space="preserve"> </w:t>
            </w:r>
            <w:r w:rsidR="00ED0C12">
              <w:rPr>
                <w:sz w:val="22"/>
                <w:szCs w:val="22"/>
              </w:rPr>
              <w:t xml:space="preserve">радио-фреквенцијског </w:t>
            </w:r>
            <w:r w:rsidR="00F401B9" w:rsidRPr="00A07012">
              <w:rPr>
                <w:sz w:val="22"/>
                <w:szCs w:val="22"/>
              </w:rPr>
              <w:t>опсега</w:t>
            </w:r>
          </w:p>
        </w:tc>
        <w:tc>
          <w:tcPr>
            <w:tcW w:w="2552" w:type="dxa"/>
            <w:vAlign w:val="center"/>
          </w:tcPr>
          <w:p w14:paraId="15A51413" w14:textId="77777777" w:rsidR="00907464" w:rsidRPr="00A07012" w:rsidRDefault="00907464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16 dBm </w:t>
            </w:r>
            <w:r w:rsidR="00F401B9"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417" w:type="dxa"/>
            <w:vAlign w:val="center"/>
          </w:tcPr>
          <w:p w14:paraId="78FFDF6F" w14:textId="77777777" w:rsidR="00907464" w:rsidRPr="00A07012" w:rsidRDefault="00907464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907464" w:rsidRPr="000E7DAF" w14:paraId="5DBBF347" w14:textId="77777777" w:rsidTr="00EC3B45">
        <w:tc>
          <w:tcPr>
            <w:tcW w:w="5103" w:type="dxa"/>
            <w:vAlign w:val="center"/>
          </w:tcPr>
          <w:p w14:paraId="262EEA22" w14:textId="77777777" w:rsidR="00907464" w:rsidRPr="00A07012" w:rsidRDefault="001522F2" w:rsidP="00A07012">
            <w:pPr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</w:rPr>
              <w:t>Више од</w:t>
            </w:r>
            <w:r w:rsidR="00907464" w:rsidRPr="00A07012">
              <w:rPr>
                <w:sz w:val="22"/>
                <w:szCs w:val="22"/>
                <w:lang w:val="en-GB"/>
              </w:rPr>
              <w:t xml:space="preserve"> 10 MHz </w:t>
            </w:r>
            <w:r w:rsidRPr="00A07012">
              <w:rPr>
                <w:sz w:val="22"/>
                <w:szCs w:val="22"/>
              </w:rPr>
              <w:t>у односу на доњу ивицу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Pr="00A07012">
              <w:rPr>
                <w:i/>
                <w:sz w:val="22"/>
                <w:szCs w:val="22"/>
                <w:lang w:val="en-GB"/>
              </w:rPr>
              <w:t>Downlink</w:t>
            </w:r>
            <w:r w:rsidRPr="00A07012">
              <w:rPr>
                <w:sz w:val="22"/>
                <w:szCs w:val="22"/>
              </w:rPr>
              <w:t xml:space="preserve"> </w:t>
            </w:r>
            <w:r w:rsidR="007C339E" w:rsidRPr="00A07012">
              <w:rPr>
                <w:sz w:val="22"/>
                <w:szCs w:val="22"/>
              </w:rPr>
              <w:t xml:space="preserve">радио-фреквенцијског </w:t>
            </w:r>
            <w:r w:rsidRPr="00A07012">
              <w:rPr>
                <w:sz w:val="22"/>
                <w:szCs w:val="22"/>
              </w:rPr>
              <w:t>опсега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Pr="00A07012">
              <w:rPr>
                <w:sz w:val="22"/>
                <w:szCs w:val="22"/>
              </w:rPr>
              <w:t>или доњу ивицу најнижег</w:t>
            </w:r>
            <w:r w:rsidRPr="00A07012">
              <w:rPr>
                <w:rFonts w:eastAsia="MS Mincho" w:cs="Arial"/>
                <w:sz w:val="22"/>
                <w:szCs w:val="22"/>
                <w:lang w:val="en-GB" w:eastAsia="ja-JP"/>
              </w:rPr>
              <w:t xml:space="preserve"> SDL </w:t>
            </w:r>
            <w:r w:rsidR="007C339E" w:rsidRPr="00A07012">
              <w:rPr>
                <w:rFonts w:eastAsia="MS Mincho" w:cs="Arial"/>
                <w:sz w:val="22"/>
                <w:szCs w:val="22"/>
                <w:lang w:eastAsia="ja-JP"/>
              </w:rPr>
              <w:t xml:space="preserve">радио-фреквенцијског </w:t>
            </w:r>
            <w:r w:rsidRPr="00A07012">
              <w:rPr>
                <w:rFonts w:eastAsia="MS Mincho" w:cs="Arial"/>
                <w:sz w:val="22"/>
                <w:szCs w:val="22"/>
                <w:lang w:eastAsia="ja-JP"/>
              </w:rPr>
              <w:t>блока</w:t>
            </w:r>
            <w:r w:rsidRPr="00A07012">
              <w:rPr>
                <w:sz w:val="22"/>
                <w:szCs w:val="22"/>
                <w:lang w:val="en-GB"/>
              </w:rPr>
              <w:t xml:space="preserve">, </w:t>
            </w:r>
            <w:r w:rsidRPr="00A07012">
              <w:rPr>
                <w:sz w:val="22"/>
                <w:szCs w:val="22"/>
              </w:rPr>
              <w:t xml:space="preserve">али изнад горње ивице </w:t>
            </w:r>
            <w:r w:rsidRPr="00A07012">
              <w:rPr>
                <w:i/>
                <w:sz w:val="22"/>
                <w:szCs w:val="22"/>
                <w:lang w:val="en-GB"/>
              </w:rPr>
              <w:t>Uplink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="007C339E" w:rsidRPr="00A07012">
              <w:rPr>
                <w:sz w:val="22"/>
                <w:szCs w:val="22"/>
              </w:rPr>
              <w:t xml:space="preserve">радио-фреквенцијског </w:t>
            </w:r>
            <w:r w:rsidRPr="00A07012">
              <w:rPr>
                <w:sz w:val="22"/>
                <w:szCs w:val="22"/>
              </w:rPr>
              <w:t>опсега</w:t>
            </w:r>
          </w:p>
        </w:tc>
        <w:tc>
          <w:tcPr>
            <w:tcW w:w="2552" w:type="dxa"/>
            <w:vAlign w:val="center"/>
          </w:tcPr>
          <w:p w14:paraId="70D8EE1E" w14:textId="77777777" w:rsidR="00907464" w:rsidRPr="00A07012" w:rsidRDefault="00907464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-4 dBm </w:t>
            </w:r>
            <w:r w:rsidR="00F401B9" w:rsidRPr="00A07012">
              <w:rPr>
                <w:sz w:val="22"/>
                <w:szCs w:val="22"/>
              </w:rPr>
              <w:t>по антенском прикључку</w:t>
            </w:r>
          </w:p>
        </w:tc>
        <w:tc>
          <w:tcPr>
            <w:tcW w:w="1417" w:type="dxa"/>
            <w:vAlign w:val="center"/>
          </w:tcPr>
          <w:p w14:paraId="4D33F7F3" w14:textId="77777777" w:rsidR="00907464" w:rsidRPr="00A07012" w:rsidRDefault="00907464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</w:tbl>
    <w:p w14:paraId="0E70C802" w14:textId="77777777" w:rsidR="00907464" w:rsidRDefault="00907464" w:rsidP="007D2E72">
      <w:pPr>
        <w:ind w:firstLine="450"/>
        <w:jc w:val="center"/>
        <w:rPr>
          <w:rFonts w:eastAsia="Times New Roman"/>
          <w:i/>
          <w:iCs/>
          <w:sz w:val="22"/>
          <w:szCs w:val="22"/>
        </w:rPr>
      </w:pPr>
    </w:p>
    <w:p w14:paraId="17B5A6B5" w14:textId="77777777" w:rsidR="00D80CA6" w:rsidRDefault="00D80CA6" w:rsidP="007D2E72">
      <w:pPr>
        <w:ind w:firstLine="450"/>
        <w:jc w:val="center"/>
        <w:rPr>
          <w:rFonts w:eastAsia="Times New Roman"/>
          <w:i/>
          <w:iCs/>
          <w:sz w:val="22"/>
          <w:szCs w:val="22"/>
        </w:rPr>
      </w:pPr>
    </w:p>
    <w:p w14:paraId="2EC92726" w14:textId="77777777" w:rsidR="00D80CA6" w:rsidRDefault="00D80CA6" w:rsidP="007D2E72">
      <w:pPr>
        <w:ind w:firstLine="450"/>
        <w:jc w:val="center"/>
        <w:rPr>
          <w:rFonts w:eastAsia="Times New Roman"/>
          <w:i/>
          <w:iCs/>
          <w:sz w:val="22"/>
          <w:szCs w:val="22"/>
        </w:rPr>
      </w:pPr>
    </w:p>
    <w:p w14:paraId="75EFBBE3" w14:textId="77777777" w:rsidR="00D80CA6" w:rsidRDefault="00D80CA6" w:rsidP="007D2E72">
      <w:pPr>
        <w:ind w:firstLine="450"/>
        <w:jc w:val="center"/>
        <w:rPr>
          <w:rFonts w:eastAsia="Times New Roman"/>
          <w:i/>
          <w:iCs/>
          <w:sz w:val="22"/>
          <w:szCs w:val="22"/>
        </w:rPr>
      </w:pPr>
    </w:p>
    <w:p w14:paraId="0907E090" w14:textId="77777777" w:rsidR="00E50182" w:rsidRDefault="00E50182" w:rsidP="007D2E72">
      <w:pPr>
        <w:ind w:firstLine="450"/>
        <w:jc w:val="center"/>
        <w:rPr>
          <w:rFonts w:eastAsia="Times New Roman"/>
          <w:i/>
          <w:iCs/>
          <w:sz w:val="22"/>
          <w:szCs w:val="22"/>
        </w:rPr>
      </w:pPr>
    </w:p>
    <w:p w14:paraId="0E3EB9C6" w14:textId="77777777" w:rsidR="00D80CA6" w:rsidRPr="007D2E72" w:rsidRDefault="00D80CA6" w:rsidP="007D2E72">
      <w:pPr>
        <w:ind w:firstLine="450"/>
        <w:jc w:val="center"/>
        <w:rPr>
          <w:rFonts w:eastAsia="Times New Roman"/>
          <w:i/>
          <w:iCs/>
          <w:sz w:val="22"/>
          <w:szCs w:val="22"/>
        </w:rPr>
      </w:pPr>
    </w:p>
    <w:p w14:paraId="1769A305" w14:textId="77777777" w:rsidR="005B30A2" w:rsidRDefault="008A27B8" w:rsidP="00A07012">
      <w:pPr>
        <w:ind w:firstLine="450"/>
        <w:rPr>
          <w:rFonts w:eastAsia="Times New Roman"/>
          <w:b/>
          <w:i/>
          <w:iCs/>
          <w:sz w:val="22"/>
          <w:szCs w:val="22"/>
        </w:rPr>
      </w:pP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Табела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r w:rsidRPr="005D5CB2">
        <w:rPr>
          <w:rFonts w:eastAsia="Times New Roman"/>
          <w:b/>
          <w:i/>
          <w:iCs/>
          <w:sz w:val="22"/>
          <w:szCs w:val="22"/>
          <w:lang w:val="en-GB"/>
        </w:rPr>
        <w:t>8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базне станице</w:t>
      </w:r>
      <w:r w:rsidR="007C339E">
        <w:rPr>
          <w:rFonts w:eastAsia="Times New Roman"/>
          <w:b/>
          <w:i/>
          <w:iCs/>
          <w:sz w:val="22"/>
          <w:szCs w:val="22"/>
        </w:rPr>
        <w:t xml:space="preserve"> у мобилној/фиксној комуникационој мрежи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r w:rsidR="005B30A2">
        <w:rPr>
          <w:rFonts w:eastAsia="Times New Roman"/>
          <w:b/>
          <w:i/>
          <w:iCs/>
          <w:sz w:val="22"/>
          <w:szCs w:val="22"/>
        </w:rPr>
        <w:t xml:space="preserve">    </w:t>
      </w:r>
    </w:p>
    <w:p w14:paraId="4A9FB23C" w14:textId="77777777" w:rsidR="005B30A2" w:rsidRDefault="005B30A2" w:rsidP="00A07012">
      <w:pPr>
        <w:ind w:firstLine="450"/>
        <w:rPr>
          <w:b/>
          <w:i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 xml:space="preserve">у заштитним </w:t>
      </w:r>
      <w:r w:rsidR="007C339E">
        <w:rPr>
          <w:rFonts w:eastAsia="Times New Roman"/>
          <w:b/>
          <w:i/>
          <w:iCs/>
          <w:sz w:val="22"/>
          <w:szCs w:val="22"/>
        </w:rPr>
        <w:t xml:space="preserve">радио-фреквенцијским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>опсезима који се не користе за</w:t>
      </w:r>
      <w:r w:rsidR="008A27B8" w:rsidRPr="005D5CB2">
        <w:rPr>
          <w:b/>
          <w:i/>
          <w:sz w:val="22"/>
          <w:szCs w:val="22"/>
        </w:rPr>
        <w:t xml:space="preserve"> PPDR </w:t>
      </w:r>
      <w:r>
        <w:rPr>
          <w:b/>
          <w:i/>
          <w:sz w:val="22"/>
          <w:szCs w:val="22"/>
        </w:rPr>
        <w:t xml:space="preserve">   </w:t>
      </w:r>
    </w:p>
    <w:p w14:paraId="6B858335" w14:textId="77777777" w:rsidR="008A27B8" w:rsidRPr="00A07012" w:rsidRDefault="005B30A2" w:rsidP="00A07012">
      <w:pPr>
        <w:ind w:firstLine="450"/>
        <w:rPr>
          <w:rFonts w:eastAsia="Times New Roman"/>
          <w:b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="008A27B8" w:rsidRPr="005D5CB2">
        <w:rPr>
          <w:b/>
          <w:i/>
          <w:sz w:val="22"/>
          <w:szCs w:val="22"/>
        </w:rPr>
        <w:t>или M2M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4877"/>
        <w:gridCol w:w="2371"/>
        <w:gridCol w:w="1769"/>
      </w:tblGrid>
      <w:tr w:rsidR="007C339E" w:rsidRPr="000E7DAF" w14:paraId="66D6AE48" w14:textId="77777777" w:rsidTr="003B5785">
        <w:tc>
          <w:tcPr>
            <w:tcW w:w="4877" w:type="dxa"/>
            <w:shd w:val="clear" w:color="auto" w:fill="C6D9F1" w:themeFill="text2" w:themeFillTint="33"/>
            <w:vAlign w:val="center"/>
          </w:tcPr>
          <w:p w14:paraId="7C07792B" w14:textId="77777777" w:rsidR="001D612A" w:rsidRPr="00A07012" w:rsidRDefault="007C339E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Радио-ф</w:t>
            </w:r>
            <w:r w:rsidR="001D612A" w:rsidRPr="00A07012">
              <w:rPr>
                <w:rFonts w:eastAsia="Times New Roman"/>
                <w:b/>
                <w:iCs/>
                <w:sz w:val="22"/>
                <w:szCs w:val="22"/>
              </w:rPr>
              <w:t>реквенцијски опсег</w:t>
            </w:r>
          </w:p>
        </w:tc>
        <w:tc>
          <w:tcPr>
            <w:tcW w:w="2371" w:type="dxa"/>
            <w:shd w:val="clear" w:color="auto" w:fill="C6D9F1" w:themeFill="text2" w:themeFillTint="33"/>
            <w:vAlign w:val="center"/>
          </w:tcPr>
          <w:p w14:paraId="45C05CA2" w14:textId="77777777" w:rsidR="001D612A" w:rsidRPr="00A07012" w:rsidRDefault="001D612A" w:rsidP="00A07012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Максимална средња </w:t>
            </w:r>
            <w:r w:rsidR="007C339E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еквивалентна изотропно израчена снага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ван </w:t>
            </w:r>
            <w:r w:rsidR="00DA6543">
              <w:rPr>
                <w:rFonts w:eastAsia="Times New Roman"/>
                <w:b/>
                <w:iCs/>
                <w:sz w:val="22"/>
                <w:szCs w:val="22"/>
              </w:rPr>
              <w:t xml:space="preserve">радио-фреквенцијског 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блока</w:t>
            </w:r>
          </w:p>
        </w:tc>
        <w:tc>
          <w:tcPr>
            <w:tcW w:w="1769" w:type="dxa"/>
            <w:shd w:val="clear" w:color="auto" w:fill="C6D9F1" w:themeFill="text2" w:themeFillTint="33"/>
            <w:vAlign w:val="center"/>
          </w:tcPr>
          <w:p w14:paraId="7FAE8FFC" w14:textId="77777777" w:rsidR="001D612A" w:rsidRPr="00A07012" w:rsidRDefault="001D612A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7C339E" w:rsidRPr="000E7DAF" w14:paraId="4AC05128" w14:textId="77777777" w:rsidTr="003B5785">
        <w:tc>
          <w:tcPr>
            <w:tcW w:w="4877" w:type="dxa"/>
            <w:vAlign w:val="center"/>
          </w:tcPr>
          <w:p w14:paraId="54E8E42F" w14:textId="77777777" w:rsidR="001D612A" w:rsidRPr="00A07012" w:rsidRDefault="007D2E72" w:rsidP="00A07012">
            <w:pPr>
              <w:keepNext/>
              <w:spacing w:line="288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Радио-фреквенцијски с</w:t>
            </w:r>
            <w:r w:rsidR="002001B6" w:rsidRPr="00A07012">
              <w:rPr>
                <w:sz w:val="22"/>
                <w:szCs w:val="22"/>
              </w:rPr>
              <w:t xml:space="preserve">пектар између границе </w:t>
            </w:r>
            <w:r w:rsidR="007C339E" w:rsidRPr="00A07012">
              <w:rPr>
                <w:sz w:val="22"/>
                <w:szCs w:val="22"/>
              </w:rPr>
              <w:t xml:space="preserve">радио-фреквенцијског </w:t>
            </w:r>
            <w:r w:rsidR="002001B6" w:rsidRPr="00A07012">
              <w:rPr>
                <w:sz w:val="22"/>
                <w:szCs w:val="22"/>
              </w:rPr>
              <w:t>опсега намењеног радио-дифузној служби и доње границе</w:t>
            </w:r>
            <w:r w:rsidR="002001B6" w:rsidRPr="00A07012">
              <w:rPr>
                <w:sz w:val="22"/>
                <w:szCs w:val="22"/>
                <w:lang w:val="en-GB"/>
              </w:rPr>
              <w:t xml:space="preserve"> FDD </w:t>
            </w:r>
            <w:r w:rsidR="002001B6" w:rsidRPr="00A07012">
              <w:rPr>
                <w:i/>
                <w:sz w:val="22"/>
                <w:szCs w:val="22"/>
                <w:lang w:val="en-GB"/>
              </w:rPr>
              <w:t>U</w:t>
            </w:r>
            <w:r w:rsidR="001D612A" w:rsidRPr="00A07012">
              <w:rPr>
                <w:i/>
                <w:sz w:val="22"/>
                <w:szCs w:val="22"/>
                <w:lang w:val="en-GB"/>
              </w:rPr>
              <w:t>plink</w:t>
            </w:r>
            <w:r w:rsidR="001D612A" w:rsidRPr="00A07012">
              <w:rPr>
                <w:sz w:val="22"/>
                <w:szCs w:val="22"/>
                <w:lang w:val="en-GB"/>
              </w:rPr>
              <w:t xml:space="preserve"> </w:t>
            </w:r>
            <w:r w:rsidR="007C339E" w:rsidRPr="00A07012">
              <w:rPr>
                <w:sz w:val="22"/>
                <w:szCs w:val="22"/>
              </w:rPr>
              <w:t>радио-фреквенци</w:t>
            </w:r>
            <w:r w:rsidR="00796BF8" w:rsidRPr="00A07012">
              <w:rPr>
                <w:sz w:val="22"/>
                <w:szCs w:val="22"/>
              </w:rPr>
              <w:t>јс</w:t>
            </w:r>
            <w:r w:rsidR="007C339E" w:rsidRPr="00A07012">
              <w:rPr>
                <w:sz w:val="22"/>
                <w:szCs w:val="22"/>
              </w:rPr>
              <w:t xml:space="preserve">ког </w:t>
            </w:r>
            <w:r w:rsidR="002001B6" w:rsidRPr="00A07012">
              <w:rPr>
                <w:sz w:val="22"/>
                <w:szCs w:val="22"/>
              </w:rPr>
              <w:t>опсега</w:t>
            </w:r>
            <w:r w:rsidR="0095488F">
              <w:rPr>
                <w:sz w:val="22"/>
                <w:szCs w:val="22"/>
              </w:rPr>
              <w:t xml:space="preserve">, a који се не користи за </w:t>
            </w:r>
            <w:r w:rsidR="0095488F">
              <w:rPr>
                <w:sz w:val="22"/>
                <w:szCs w:val="22"/>
                <w:lang w:val="en-GB"/>
              </w:rPr>
              <w:t xml:space="preserve">PPDR </w:t>
            </w:r>
            <w:r w:rsidR="0095488F">
              <w:rPr>
                <w:sz w:val="22"/>
                <w:szCs w:val="22"/>
              </w:rPr>
              <w:t>или</w:t>
            </w:r>
            <w:r w:rsidR="001D612A" w:rsidRPr="00A07012">
              <w:rPr>
                <w:sz w:val="22"/>
                <w:szCs w:val="22"/>
                <w:lang w:val="en-GB"/>
              </w:rPr>
              <w:t xml:space="preserve"> </w:t>
            </w:r>
            <w:r w:rsidR="0095488F">
              <w:rPr>
                <w:sz w:val="22"/>
                <w:szCs w:val="22"/>
                <w:lang w:val="en-GB"/>
              </w:rPr>
              <w:t xml:space="preserve">M2M </w:t>
            </w:r>
            <w:r w:rsidR="001D612A" w:rsidRPr="00A07012">
              <w:rPr>
                <w:sz w:val="22"/>
                <w:szCs w:val="22"/>
                <w:lang w:val="en-GB"/>
              </w:rPr>
              <w:t>(694-</w:t>
            </w:r>
            <w:r w:rsidR="0095488F">
              <w:rPr>
                <w:sz w:val="22"/>
                <w:szCs w:val="22"/>
                <w:lang w:val="en-GB"/>
              </w:rPr>
              <w:t>698</w:t>
            </w:r>
            <w:r w:rsidR="0095488F" w:rsidRPr="00A07012">
              <w:rPr>
                <w:sz w:val="22"/>
                <w:szCs w:val="22"/>
                <w:lang w:val="en-GB"/>
              </w:rPr>
              <w:t xml:space="preserve"> </w:t>
            </w:r>
            <w:r w:rsidR="001D612A" w:rsidRPr="00A07012">
              <w:rPr>
                <w:sz w:val="22"/>
                <w:szCs w:val="22"/>
                <w:lang w:val="en-GB"/>
              </w:rPr>
              <w:t>MHz)</w:t>
            </w:r>
          </w:p>
        </w:tc>
        <w:tc>
          <w:tcPr>
            <w:tcW w:w="2371" w:type="dxa"/>
            <w:vAlign w:val="center"/>
          </w:tcPr>
          <w:p w14:paraId="0586CBB9" w14:textId="77777777" w:rsidR="001D612A" w:rsidRPr="00A07012" w:rsidRDefault="001D612A" w:rsidP="00A07012">
            <w:pPr>
              <w:keepNext/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-32 dBm </w:t>
            </w:r>
            <w:r w:rsidRPr="00A07012">
              <w:rPr>
                <w:sz w:val="22"/>
                <w:szCs w:val="22"/>
              </w:rPr>
              <w:t>по ћелији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Pr="00A07012">
              <w:rPr>
                <w:sz w:val="22"/>
                <w:szCs w:val="22"/>
                <w:vertAlign w:val="superscript"/>
                <w:lang w:val="en-GB"/>
              </w:rPr>
              <w:t>(1)</w:t>
            </w:r>
          </w:p>
        </w:tc>
        <w:tc>
          <w:tcPr>
            <w:tcW w:w="1769" w:type="dxa"/>
            <w:vAlign w:val="center"/>
          </w:tcPr>
          <w:p w14:paraId="1F423A39" w14:textId="77777777" w:rsidR="001D612A" w:rsidRPr="00A07012" w:rsidRDefault="001D612A" w:rsidP="00A07012">
            <w:pPr>
              <w:keepNext/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1 MHz</w:t>
            </w:r>
          </w:p>
        </w:tc>
      </w:tr>
      <w:tr w:rsidR="001D612A" w:rsidRPr="000E7DAF" w14:paraId="59AA955B" w14:textId="77777777" w:rsidTr="003B5785">
        <w:tc>
          <w:tcPr>
            <w:tcW w:w="9017" w:type="dxa"/>
            <w:gridSpan w:val="3"/>
            <w:vAlign w:val="center"/>
          </w:tcPr>
          <w:p w14:paraId="4EF64B10" w14:textId="77777777" w:rsidR="001D612A" w:rsidRPr="00C46887" w:rsidRDefault="001D612A" w:rsidP="00ED2341">
            <w:pPr>
              <w:pStyle w:val="ECCTablenote"/>
            </w:pPr>
            <w:r w:rsidRPr="000C1909">
              <w:t xml:space="preserve">(1) Уколико базна станица има више сектора, максимално дозвољена израчена снага се односи на сваки од </w:t>
            </w:r>
            <w:r w:rsidRPr="00C46887">
              <w:t>појединачних сектора.</w:t>
            </w:r>
          </w:p>
        </w:tc>
      </w:tr>
    </w:tbl>
    <w:p w14:paraId="00309729" w14:textId="77777777" w:rsidR="00B61408" w:rsidRDefault="00B61408" w:rsidP="00A07012">
      <w:pPr>
        <w:rPr>
          <w:rFonts w:eastAsia="Times New Roman"/>
          <w:b/>
          <w:i/>
          <w:iCs/>
          <w:sz w:val="22"/>
          <w:szCs w:val="22"/>
        </w:rPr>
      </w:pPr>
    </w:p>
    <w:p w14:paraId="63239DDD" w14:textId="77777777" w:rsidR="00B61408" w:rsidRDefault="00B61408" w:rsidP="008A27B8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686C1A4D" w14:textId="77777777" w:rsidR="005B30A2" w:rsidRDefault="008A27B8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 w:rsidRPr="005D5CB2">
        <w:rPr>
          <w:rFonts w:eastAsia="Times New Roman"/>
          <w:b/>
          <w:i/>
          <w:iCs/>
          <w:sz w:val="22"/>
          <w:szCs w:val="22"/>
        </w:rPr>
        <w:t>Табела 9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базне станице</w:t>
      </w:r>
      <w:r w:rsidR="002F6BCA">
        <w:rPr>
          <w:rFonts w:eastAsia="Times New Roman"/>
          <w:b/>
          <w:i/>
          <w:iCs/>
          <w:sz w:val="22"/>
          <w:szCs w:val="22"/>
        </w:rPr>
        <w:t xml:space="preserve"> у мобилној/фиксној комуни</w:t>
      </w:r>
      <w:r w:rsidR="0057709B">
        <w:rPr>
          <w:rFonts w:eastAsia="Times New Roman"/>
          <w:b/>
          <w:i/>
          <w:iCs/>
          <w:sz w:val="22"/>
          <w:szCs w:val="22"/>
        </w:rPr>
        <w:t>ка</w:t>
      </w:r>
      <w:r w:rsidR="002F6BCA">
        <w:rPr>
          <w:rFonts w:eastAsia="Times New Roman"/>
          <w:b/>
          <w:i/>
          <w:iCs/>
          <w:sz w:val="22"/>
          <w:szCs w:val="22"/>
        </w:rPr>
        <w:t>ционој мрежи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</w:p>
    <w:p w14:paraId="1639DD3C" w14:textId="77777777" w:rsidR="001D612A" w:rsidRPr="005D5CB2" w:rsidRDefault="005B30A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</w:t>
      </w:r>
      <w:r w:rsidR="008A27B8" w:rsidRPr="005D5CB2">
        <w:rPr>
          <w:rFonts w:eastAsia="Times New Roman"/>
          <w:b/>
          <w:i/>
          <w:iCs/>
          <w:sz w:val="22"/>
          <w:szCs w:val="22"/>
        </w:rPr>
        <w:t>у основном региону</w:t>
      </w:r>
      <w:r w:rsidR="008A27B8" w:rsidRPr="005D5CB2">
        <w:rPr>
          <w:b/>
          <w:i/>
          <w:sz w:val="22"/>
          <w:szCs w:val="22"/>
        </w:rPr>
        <w:t xml:space="preserve"> за DTT </w:t>
      </w:r>
      <w:r w:rsidR="002F6BCA">
        <w:rPr>
          <w:b/>
          <w:i/>
          <w:sz w:val="22"/>
          <w:szCs w:val="22"/>
        </w:rPr>
        <w:t>радио-фреквенци</w:t>
      </w:r>
      <w:r w:rsidR="0046379F">
        <w:rPr>
          <w:b/>
          <w:i/>
          <w:sz w:val="22"/>
          <w:szCs w:val="22"/>
        </w:rPr>
        <w:t>јс</w:t>
      </w:r>
      <w:r w:rsidR="002F6BCA">
        <w:rPr>
          <w:b/>
          <w:i/>
          <w:sz w:val="22"/>
          <w:szCs w:val="22"/>
        </w:rPr>
        <w:t xml:space="preserve">ки </w:t>
      </w:r>
      <w:r w:rsidR="008A27B8" w:rsidRPr="005D5CB2">
        <w:rPr>
          <w:b/>
          <w:i/>
          <w:sz w:val="22"/>
          <w:szCs w:val="22"/>
        </w:rPr>
        <w:t>спектар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039"/>
        <w:gridCol w:w="2399"/>
        <w:gridCol w:w="1805"/>
      </w:tblGrid>
      <w:tr w:rsidR="00E830D1" w:rsidRPr="004B0810" w14:paraId="3CC5D70B" w14:textId="77777777" w:rsidTr="003976B6">
        <w:tc>
          <w:tcPr>
            <w:tcW w:w="5039" w:type="dxa"/>
            <w:shd w:val="clear" w:color="auto" w:fill="C6D9F1" w:themeFill="text2" w:themeFillTint="33"/>
            <w:vAlign w:val="center"/>
          </w:tcPr>
          <w:p w14:paraId="44E8F16E" w14:textId="77777777" w:rsidR="00E830D1" w:rsidRPr="00A07012" w:rsidRDefault="002F6BCA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Радио-ф</w:t>
            </w:r>
            <w:r w:rsidR="00E830D1" w:rsidRPr="00A07012">
              <w:rPr>
                <w:rFonts w:eastAsia="Times New Roman"/>
                <w:b/>
                <w:iCs/>
                <w:sz w:val="22"/>
                <w:szCs w:val="22"/>
              </w:rPr>
              <w:t>реквенцијски опсег</w:t>
            </w:r>
          </w:p>
        </w:tc>
        <w:tc>
          <w:tcPr>
            <w:tcW w:w="2399" w:type="dxa"/>
            <w:shd w:val="clear" w:color="auto" w:fill="C6D9F1" w:themeFill="text2" w:themeFillTint="33"/>
            <w:vAlign w:val="center"/>
          </w:tcPr>
          <w:p w14:paraId="3782F05D" w14:textId="77777777" w:rsidR="00E830D1" w:rsidRPr="00A07012" w:rsidRDefault="00E830D1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Максимална средња</w:t>
            </w:r>
            <w:r w:rsidR="002F6BCA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еквивалентна изотропно израчена снага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</w:p>
        </w:tc>
        <w:tc>
          <w:tcPr>
            <w:tcW w:w="1805" w:type="dxa"/>
            <w:shd w:val="clear" w:color="auto" w:fill="C6D9F1" w:themeFill="text2" w:themeFillTint="33"/>
            <w:vAlign w:val="center"/>
          </w:tcPr>
          <w:p w14:paraId="354BECBD" w14:textId="77777777" w:rsidR="00E830D1" w:rsidRPr="00A07012" w:rsidRDefault="00E830D1" w:rsidP="00A07012">
            <w:pPr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E830D1" w:rsidRPr="004B0810" w14:paraId="260E9A39" w14:textId="77777777" w:rsidTr="00E830D1">
        <w:tc>
          <w:tcPr>
            <w:tcW w:w="5039" w:type="dxa"/>
            <w:shd w:val="clear" w:color="auto" w:fill="auto"/>
            <w:vAlign w:val="center"/>
          </w:tcPr>
          <w:p w14:paraId="0CD7864F" w14:textId="77777777" w:rsidR="00E830D1" w:rsidRPr="00A07012" w:rsidRDefault="00E830D1" w:rsidP="00964BB6">
            <w:pPr>
              <w:spacing w:line="288" w:lineRule="auto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DTT </w:t>
            </w:r>
            <w:r w:rsidR="008A232C" w:rsidRPr="00A07012">
              <w:rPr>
                <w:sz w:val="22"/>
                <w:szCs w:val="22"/>
              </w:rPr>
              <w:t>радио-</w:t>
            </w:r>
            <w:r w:rsidR="00964BB6" w:rsidRPr="00A07012">
              <w:rPr>
                <w:sz w:val="22"/>
                <w:szCs w:val="22"/>
              </w:rPr>
              <w:t>фреквенције испод</w:t>
            </w:r>
            <w:r w:rsidRPr="00A07012">
              <w:rPr>
                <w:sz w:val="22"/>
                <w:szCs w:val="22"/>
                <w:lang w:val="en-GB"/>
              </w:rPr>
              <w:t xml:space="preserve"> 694 MHz </w:t>
            </w:r>
            <w:r w:rsidR="00964BB6" w:rsidRPr="00A07012">
              <w:rPr>
                <w:sz w:val="22"/>
                <w:szCs w:val="22"/>
              </w:rPr>
              <w:t>где се штити радио-дифузна служба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4838D9" w14:textId="77777777" w:rsidR="00E830D1" w:rsidRPr="00A07012" w:rsidRDefault="00E830D1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-23 dBm</w:t>
            </w:r>
            <w:r w:rsidRPr="00A07012"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964BB6" w:rsidRPr="00A07012">
              <w:rPr>
                <w:sz w:val="22"/>
                <w:szCs w:val="22"/>
              </w:rPr>
              <w:t>по ћелији</w:t>
            </w:r>
            <w:r w:rsidR="00964BB6" w:rsidRPr="00A07012">
              <w:rPr>
                <w:sz w:val="22"/>
                <w:szCs w:val="22"/>
                <w:lang w:val="en-GB"/>
              </w:rPr>
              <w:t xml:space="preserve"> </w:t>
            </w:r>
            <w:r w:rsidR="00964BB6" w:rsidRPr="00A07012">
              <w:rPr>
                <w:sz w:val="22"/>
                <w:szCs w:val="22"/>
                <w:vertAlign w:val="superscript"/>
                <w:lang w:val="en-GB"/>
              </w:rPr>
              <w:t>(1)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4B9C6DB" w14:textId="77777777" w:rsidR="00E830D1" w:rsidRPr="00A07012" w:rsidRDefault="00E830D1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8 MHz</w:t>
            </w:r>
          </w:p>
        </w:tc>
      </w:tr>
      <w:tr w:rsidR="00964BB6" w:rsidRPr="004B0810" w14:paraId="2CABD8C2" w14:textId="77777777" w:rsidTr="0076173E">
        <w:tc>
          <w:tcPr>
            <w:tcW w:w="9243" w:type="dxa"/>
            <w:gridSpan w:val="3"/>
            <w:shd w:val="clear" w:color="auto" w:fill="auto"/>
            <w:vAlign w:val="center"/>
          </w:tcPr>
          <w:p w14:paraId="193F4E4E" w14:textId="77777777" w:rsidR="00964BB6" w:rsidRPr="00964BB6" w:rsidRDefault="00964BB6" w:rsidP="00907464">
            <w:pPr>
              <w:spacing w:line="288" w:lineRule="auto"/>
              <w:rPr>
                <w:sz w:val="16"/>
                <w:szCs w:val="16"/>
                <w:lang w:val="en-GB"/>
              </w:rPr>
            </w:pPr>
            <w:r w:rsidRPr="00964BB6">
              <w:rPr>
                <w:sz w:val="16"/>
                <w:szCs w:val="16"/>
              </w:rPr>
              <w:t>(1) Уколико базна станица има више сектора, максимално дозвољена израчена снага се односи на сваки од појединачних сектора.</w:t>
            </w:r>
          </w:p>
        </w:tc>
      </w:tr>
    </w:tbl>
    <w:p w14:paraId="57A75CD2" w14:textId="77777777" w:rsidR="00D80CA6" w:rsidRDefault="00D80CA6" w:rsidP="00C31CDB">
      <w:pPr>
        <w:ind w:firstLine="450"/>
        <w:jc w:val="center"/>
        <w:rPr>
          <w:rFonts w:eastAsia="Times New Roman"/>
          <w:b/>
          <w:iCs/>
        </w:rPr>
      </w:pPr>
    </w:p>
    <w:p w14:paraId="4AA0D608" w14:textId="77777777" w:rsidR="00D80CA6" w:rsidRDefault="00D80CA6" w:rsidP="00C31CDB">
      <w:pPr>
        <w:ind w:firstLine="450"/>
        <w:jc w:val="center"/>
        <w:rPr>
          <w:rFonts w:eastAsia="Times New Roman"/>
          <w:b/>
          <w:iCs/>
        </w:rPr>
      </w:pPr>
    </w:p>
    <w:p w14:paraId="173FC068" w14:textId="77777777" w:rsidR="007B61B9" w:rsidRPr="007B61B9" w:rsidRDefault="007B61B9" w:rsidP="00C31CDB">
      <w:pPr>
        <w:ind w:firstLine="450"/>
        <w:jc w:val="center"/>
        <w:rPr>
          <w:rFonts w:eastAsia="Times New Roman"/>
          <w:b/>
          <w:iCs/>
        </w:rPr>
      </w:pPr>
    </w:p>
    <w:p w14:paraId="03C524E9" w14:textId="77777777" w:rsidR="00F0183F" w:rsidRDefault="00F0183F" w:rsidP="00C31CDB">
      <w:pPr>
        <w:ind w:firstLine="450"/>
        <w:jc w:val="center"/>
        <w:rPr>
          <w:rFonts w:eastAsia="Times New Roman"/>
          <w:b/>
          <w:iCs/>
        </w:rPr>
      </w:pPr>
      <w:r w:rsidRPr="00A07012">
        <w:rPr>
          <w:rFonts w:eastAsia="Times New Roman"/>
          <w:b/>
          <w:iCs/>
        </w:rPr>
        <w:t>3.2</w:t>
      </w:r>
      <w:r w:rsidR="00C46887">
        <w:rPr>
          <w:rFonts w:eastAsia="Times New Roman"/>
          <w:b/>
          <w:iCs/>
        </w:rPr>
        <w:t>.</w:t>
      </w:r>
      <w:r w:rsidRPr="00A07012">
        <w:rPr>
          <w:rFonts w:eastAsia="Times New Roman"/>
          <w:b/>
          <w:iCs/>
        </w:rPr>
        <w:t xml:space="preserve"> Терминална станица</w:t>
      </w:r>
    </w:p>
    <w:p w14:paraId="3D25AAED" w14:textId="77777777" w:rsidR="0054792B" w:rsidRPr="00A07012" w:rsidRDefault="0054792B" w:rsidP="00C31CDB">
      <w:pPr>
        <w:ind w:firstLine="450"/>
        <w:jc w:val="center"/>
        <w:rPr>
          <w:rFonts w:eastAsia="Times New Roman"/>
          <w:b/>
          <w:iCs/>
        </w:rPr>
      </w:pPr>
    </w:p>
    <w:p w14:paraId="691B2D59" w14:textId="77777777" w:rsidR="00F0183F" w:rsidRDefault="00F0183F" w:rsidP="00C31CDB">
      <w:pPr>
        <w:ind w:firstLine="450"/>
        <w:jc w:val="center"/>
        <w:rPr>
          <w:rFonts w:eastAsia="Times New Roman"/>
          <w:b/>
          <w:iCs/>
          <w:sz w:val="22"/>
          <w:szCs w:val="22"/>
        </w:rPr>
      </w:pPr>
    </w:p>
    <w:p w14:paraId="52A794B6" w14:textId="77777777" w:rsidR="0054792B" w:rsidRDefault="00C670B5" w:rsidP="00C670B5">
      <w:pPr>
        <w:ind w:firstLine="450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BEM за терминалне станице у мобилној/фиксној комуникационој мрежи </w:t>
      </w:r>
      <w:r w:rsidR="00736CD6">
        <w:rPr>
          <w:rFonts w:eastAsia="Times New Roman"/>
          <w:iCs/>
        </w:rPr>
        <w:t xml:space="preserve">састоји се од </w:t>
      </w:r>
      <w:r w:rsidR="007B61B9">
        <w:rPr>
          <w:rFonts w:eastAsia="Times New Roman"/>
          <w:iCs/>
        </w:rPr>
        <w:t>ограничења снаге</w:t>
      </w:r>
      <w:r w:rsidR="00736CD6">
        <w:rPr>
          <w:rFonts w:eastAsia="Times New Roman"/>
          <w:iCs/>
        </w:rPr>
        <w:t xml:space="preserve"> </w:t>
      </w:r>
      <w:r w:rsidR="007B61B9">
        <w:rPr>
          <w:rFonts w:eastAsia="Times New Roman"/>
          <w:iCs/>
        </w:rPr>
        <w:t xml:space="preserve">терминалне станице </w:t>
      </w:r>
      <w:r w:rsidR="00736CD6">
        <w:rPr>
          <w:rFonts w:eastAsia="Times New Roman"/>
          <w:iCs/>
        </w:rPr>
        <w:t xml:space="preserve">унутар радио-фреквенцијског блока, </w:t>
      </w:r>
      <w:r w:rsidR="00736CD6">
        <w:rPr>
          <w:rFonts w:eastAsia="Times New Roman"/>
        </w:rPr>
        <w:t xml:space="preserve">захтева </w:t>
      </w:r>
      <w:r w:rsidR="007B61B9">
        <w:rPr>
          <w:rFonts w:eastAsia="Times New Roman"/>
        </w:rPr>
        <w:t>унутар заштитног</w:t>
      </w:r>
      <w:r w:rsidR="00736CD6">
        <w:rPr>
          <w:rFonts w:eastAsia="Times New Roman"/>
        </w:rPr>
        <w:t xml:space="preserve"> </w:t>
      </w:r>
      <w:r w:rsidR="008138A3">
        <w:rPr>
          <w:rFonts w:eastAsia="Times New Roman"/>
        </w:rPr>
        <w:t xml:space="preserve">радио-фреквенцијског </w:t>
      </w:r>
      <w:r w:rsidR="00736CD6">
        <w:rPr>
          <w:rFonts w:eastAsia="Times New Roman"/>
        </w:rPr>
        <w:t>опсег</w:t>
      </w:r>
      <w:r w:rsidR="007B61B9">
        <w:rPr>
          <w:rFonts w:eastAsia="Times New Roman"/>
        </w:rPr>
        <w:t>а</w:t>
      </w:r>
      <w:r w:rsidR="00736CD6">
        <w:rPr>
          <w:rFonts w:eastAsia="Times New Roman"/>
        </w:rPr>
        <w:t xml:space="preserve"> између </w:t>
      </w:r>
      <w:r w:rsidR="00736CD6" w:rsidRPr="0054792B">
        <w:rPr>
          <w:rFonts w:eastAsia="Times New Roman"/>
          <w:iCs/>
        </w:rPr>
        <w:t xml:space="preserve">DTT </w:t>
      </w:r>
      <w:r w:rsidR="00736CD6">
        <w:rPr>
          <w:rFonts w:eastAsia="Times New Roman"/>
          <w:iCs/>
        </w:rPr>
        <w:t>и</w:t>
      </w:r>
      <w:r w:rsidR="00736CD6" w:rsidRPr="0054792B">
        <w:rPr>
          <w:rFonts w:eastAsia="Times New Roman"/>
          <w:iCs/>
        </w:rPr>
        <w:t xml:space="preserve"> MFCN </w:t>
      </w:r>
      <w:r w:rsidR="00736CD6" w:rsidRPr="00D6761A">
        <w:rPr>
          <w:i/>
        </w:rPr>
        <w:t>Uplink</w:t>
      </w:r>
      <w:r w:rsidR="00736CD6">
        <w:rPr>
          <w:i/>
        </w:rPr>
        <w:t xml:space="preserve">, </w:t>
      </w:r>
      <w:r w:rsidR="00736CD6">
        <w:rPr>
          <w:rFonts w:eastAsia="Times New Roman"/>
          <w:iCs/>
        </w:rPr>
        <w:t>елемената радио-фреквенцијског спектра између</w:t>
      </w:r>
      <w:r w:rsidR="00736CD6" w:rsidRPr="00736CD6">
        <w:rPr>
          <w:rFonts w:eastAsia="Times New Roman"/>
          <w:iCs/>
        </w:rPr>
        <w:t xml:space="preserve"> </w:t>
      </w:r>
      <w:r w:rsidR="00736CD6" w:rsidRPr="0054792B">
        <w:rPr>
          <w:rFonts w:eastAsia="Times New Roman"/>
          <w:iCs/>
        </w:rPr>
        <w:t xml:space="preserve">MFCN </w:t>
      </w:r>
      <w:r w:rsidR="00736CD6" w:rsidRPr="00D6761A">
        <w:rPr>
          <w:i/>
        </w:rPr>
        <w:t>Uplink</w:t>
      </w:r>
      <w:r w:rsidR="00736CD6">
        <w:rPr>
          <w:rFonts w:eastAsia="Times New Roman"/>
          <w:lang w:val="en-GB"/>
        </w:rPr>
        <w:t xml:space="preserve"> </w:t>
      </w:r>
      <w:r w:rsidR="00736CD6">
        <w:rPr>
          <w:rFonts w:eastAsia="Times New Roman"/>
        </w:rPr>
        <w:t xml:space="preserve">и </w:t>
      </w:r>
      <w:r w:rsidR="00736CD6" w:rsidRPr="00D6761A">
        <w:rPr>
          <w:i/>
        </w:rPr>
        <w:t>Downlink</w:t>
      </w:r>
      <w:r w:rsidR="00736CD6">
        <w:rPr>
          <w:rFonts w:eastAsia="Times New Roman"/>
          <w:lang w:val="en-GB"/>
        </w:rPr>
        <w:t xml:space="preserve"> </w:t>
      </w:r>
      <w:r w:rsidR="00736CD6">
        <w:rPr>
          <w:rFonts w:eastAsia="Times New Roman"/>
        </w:rPr>
        <w:t xml:space="preserve">(укључујући и </w:t>
      </w:r>
      <w:r w:rsidR="00736CD6" w:rsidRPr="0054792B">
        <w:rPr>
          <w:rFonts w:eastAsia="Times New Roman"/>
          <w:iCs/>
        </w:rPr>
        <w:t>SDL</w:t>
      </w:r>
      <w:r w:rsidR="00736CD6">
        <w:rPr>
          <w:rFonts w:eastAsia="Times New Roman"/>
          <w:iCs/>
        </w:rPr>
        <w:t>, ако се користи</w:t>
      </w:r>
      <w:r w:rsidR="00736CD6">
        <w:rPr>
          <w:rFonts w:eastAsia="Times New Roman"/>
        </w:rPr>
        <w:t xml:space="preserve">) </w:t>
      </w:r>
      <w:r w:rsidR="0054792B" w:rsidRPr="0054792B">
        <w:rPr>
          <w:rFonts w:eastAsia="Times New Roman"/>
          <w:iCs/>
        </w:rPr>
        <w:t xml:space="preserve"> </w:t>
      </w:r>
      <w:r w:rsidR="00736CD6">
        <w:rPr>
          <w:rFonts w:eastAsia="Times New Roman"/>
          <w:iCs/>
        </w:rPr>
        <w:t xml:space="preserve">и </w:t>
      </w:r>
      <w:r w:rsidR="007B61B9">
        <w:rPr>
          <w:rFonts w:eastAsia="Times New Roman"/>
          <w:iCs/>
        </w:rPr>
        <w:t>ограничења снаге терминалне станице</w:t>
      </w:r>
      <w:r w:rsidR="00736CD6">
        <w:rPr>
          <w:rFonts w:eastAsia="Times New Roman"/>
          <w:iCs/>
        </w:rPr>
        <w:t xml:space="preserve"> у основном </w:t>
      </w:r>
      <w:r w:rsidR="00DA1BD9">
        <w:rPr>
          <w:rFonts w:eastAsia="Times New Roman"/>
          <w:iCs/>
        </w:rPr>
        <w:t>региону</w:t>
      </w:r>
      <w:r w:rsidR="00736CD6">
        <w:rPr>
          <w:rFonts w:eastAsia="Times New Roman"/>
          <w:iCs/>
        </w:rPr>
        <w:t xml:space="preserve"> за</w:t>
      </w:r>
      <w:r w:rsidR="0054792B" w:rsidRPr="0054792B">
        <w:rPr>
          <w:rFonts w:eastAsia="Times New Roman"/>
          <w:iCs/>
        </w:rPr>
        <w:t xml:space="preserve"> DTT </w:t>
      </w:r>
      <w:r w:rsidR="00736CD6">
        <w:rPr>
          <w:rFonts w:eastAsia="Times New Roman"/>
          <w:iCs/>
        </w:rPr>
        <w:t>спектар.</w:t>
      </w:r>
      <w:r w:rsidR="0054792B" w:rsidRPr="0054792B">
        <w:rPr>
          <w:rFonts w:eastAsia="Times New Roman"/>
          <w:iCs/>
        </w:rPr>
        <w:t xml:space="preserve"> </w:t>
      </w:r>
    </w:p>
    <w:p w14:paraId="0200DABE" w14:textId="77777777" w:rsidR="007B61B9" w:rsidRPr="007B61B9" w:rsidRDefault="007B61B9" w:rsidP="00C670B5">
      <w:pPr>
        <w:ind w:firstLine="450"/>
        <w:jc w:val="both"/>
        <w:rPr>
          <w:rFonts w:eastAsia="Times New Roman"/>
          <w:iCs/>
        </w:rPr>
      </w:pPr>
    </w:p>
    <w:p w14:paraId="75D46F94" w14:textId="77777777" w:rsidR="00F0183F" w:rsidRDefault="00F0183F" w:rsidP="00F0183F">
      <w:pPr>
        <w:ind w:firstLine="450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У </w:t>
      </w:r>
      <w:proofErr w:type="spellStart"/>
      <w:r w:rsidR="008A232C">
        <w:rPr>
          <w:rFonts w:eastAsia="Times New Roman"/>
          <w:iCs/>
        </w:rPr>
        <w:t>Т</w:t>
      </w:r>
      <w:r>
        <w:rPr>
          <w:rFonts w:eastAsia="Times New Roman"/>
          <w:iCs/>
        </w:rPr>
        <w:t>абелама</w:t>
      </w:r>
      <w:proofErr w:type="spellEnd"/>
      <w:r>
        <w:rPr>
          <w:rFonts w:eastAsia="Times New Roman"/>
          <w:iCs/>
        </w:rPr>
        <w:t xml:space="preserve"> </w:t>
      </w:r>
      <w:proofErr w:type="spellStart"/>
      <w:r w:rsidR="005B30A2">
        <w:rPr>
          <w:rFonts w:eastAsia="Times New Roman"/>
          <w:iCs/>
        </w:rPr>
        <w:t>од</w:t>
      </w:r>
      <w:proofErr w:type="spellEnd"/>
      <w:r w:rsidR="005B30A2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>10</w:t>
      </w:r>
      <w:r w:rsidR="005B30A2">
        <w:rPr>
          <w:rFonts w:eastAsia="Times New Roman"/>
          <w:iCs/>
        </w:rPr>
        <w:t xml:space="preserve">. до </w:t>
      </w:r>
      <w:r>
        <w:rPr>
          <w:rFonts w:eastAsia="Times New Roman"/>
          <w:iCs/>
        </w:rPr>
        <w:t>13</w:t>
      </w:r>
      <w:r w:rsidR="008A232C">
        <w:rPr>
          <w:rFonts w:eastAsia="Times New Roman"/>
          <w:iCs/>
        </w:rPr>
        <w:t>.</w:t>
      </w:r>
      <w:r>
        <w:rPr>
          <w:rFonts w:eastAsia="Times New Roman"/>
          <w:iCs/>
        </w:rPr>
        <w:t xml:space="preserve"> дефинисан је </w:t>
      </w:r>
      <w:r>
        <w:rPr>
          <w:rFonts w:eastAsia="Times New Roman"/>
          <w:iCs/>
          <w:lang w:val="en-GB"/>
        </w:rPr>
        <w:t xml:space="preserve">BEM </w:t>
      </w:r>
      <w:r>
        <w:rPr>
          <w:rFonts w:eastAsia="Times New Roman"/>
          <w:iCs/>
        </w:rPr>
        <w:t>за терминалну станицу</w:t>
      </w:r>
      <w:r w:rsidR="002F6BCA">
        <w:rPr>
          <w:rFonts w:eastAsia="Times New Roman"/>
          <w:iCs/>
        </w:rPr>
        <w:t xml:space="preserve"> у мобилној/фиксној комуникационој мрежи</w:t>
      </w:r>
      <w:r>
        <w:rPr>
          <w:rFonts w:eastAsia="Times New Roman"/>
          <w:iCs/>
        </w:rPr>
        <w:t>.</w:t>
      </w:r>
    </w:p>
    <w:p w14:paraId="71C988AF" w14:textId="77777777" w:rsidR="00F0183F" w:rsidRDefault="00F0183F" w:rsidP="00C31CDB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5B8DA586" w14:textId="77777777" w:rsidR="007B61B9" w:rsidRDefault="007B61B9" w:rsidP="00C31CDB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6413DA92" w14:textId="77777777" w:rsidR="007B61B9" w:rsidRDefault="007B61B9" w:rsidP="00C31CDB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68B50B86" w14:textId="77777777" w:rsidR="007B61B9" w:rsidRDefault="007B61B9" w:rsidP="00C31CDB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0487F085" w14:textId="77777777" w:rsidR="007B61B9" w:rsidRDefault="007B61B9" w:rsidP="00C31CDB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6E22D3D0" w14:textId="77777777" w:rsidR="005B30A2" w:rsidRDefault="00C31CDB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proofErr w:type="spellStart"/>
      <w:r w:rsidRPr="008A2314">
        <w:rPr>
          <w:rFonts w:eastAsia="Times New Roman"/>
          <w:b/>
          <w:i/>
          <w:iCs/>
          <w:sz w:val="22"/>
          <w:szCs w:val="22"/>
        </w:rPr>
        <w:lastRenderedPageBreak/>
        <w:t>Табела</w:t>
      </w:r>
      <w:proofErr w:type="spellEnd"/>
      <w:r w:rsidRPr="008A2314">
        <w:rPr>
          <w:rFonts w:eastAsia="Times New Roman"/>
          <w:b/>
          <w:i/>
          <w:iCs/>
          <w:sz w:val="22"/>
          <w:szCs w:val="22"/>
        </w:rPr>
        <w:t xml:space="preserve"> 10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8A2314">
        <w:rPr>
          <w:rFonts w:eastAsia="Times New Roman"/>
          <w:b/>
          <w:i/>
          <w:iCs/>
          <w:sz w:val="22"/>
          <w:szCs w:val="22"/>
        </w:rPr>
        <w:t xml:space="preserve"> Ограничење снаге терминалне станице</w:t>
      </w:r>
      <w:r w:rsidR="002F6BCA">
        <w:rPr>
          <w:rFonts w:eastAsia="Times New Roman"/>
          <w:b/>
          <w:i/>
          <w:iCs/>
          <w:sz w:val="22"/>
          <w:szCs w:val="22"/>
        </w:rPr>
        <w:t xml:space="preserve"> у мобилној/фиксној </w:t>
      </w:r>
    </w:p>
    <w:p w14:paraId="4924C6ED" w14:textId="77777777" w:rsidR="00C31CDB" w:rsidRPr="008A2314" w:rsidRDefault="005B30A2" w:rsidP="00A07012">
      <w:pPr>
        <w:ind w:firstLine="450"/>
        <w:jc w:val="both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</w:t>
      </w:r>
      <w:r w:rsidR="002F6BCA">
        <w:rPr>
          <w:rFonts w:eastAsia="Times New Roman"/>
          <w:b/>
          <w:i/>
          <w:iCs/>
          <w:sz w:val="22"/>
          <w:szCs w:val="22"/>
        </w:rPr>
        <w:t>комуникационој мрежи</w:t>
      </w:r>
      <w:r w:rsidR="00C31CDB" w:rsidRPr="008A2314">
        <w:rPr>
          <w:rFonts w:eastAsia="Times New Roman"/>
          <w:b/>
          <w:i/>
          <w:iCs/>
          <w:sz w:val="22"/>
          <w:szCs w:val="22"/>
        </w:rPr>
        <w:t xml:space="preserve"> унутар </w:t>
      </w:r>
      <w:r w:rsidR="002F6BCA">
        <w:rPr>
          <w:rFonts w:eastAsia="Times New Roman"/>
          <w:b/>
          <w:i/>
          <w:iCs/>
          <w:sz w:val="22"/>
          <w:szCs w:val="22"/>
        </w:rPr>
        <w:t xml:space="preserve">радио-фреквенцијског </w:t>
      </w:r>
      <w:r w:rsidR="00C31CDB" w:rsidRPr="008A2314">
        <w:rPr>
          <w:rFonts w:eastAsia="Times New Roman"/>
          <w:b/>
          <w:i/>
          <w:iCs/>
          <w:sz w:val="22"/>
          <w:szCs w:val="22"/>
        </w:rPr>
        <w:t>блока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9205"/>
      </w:tblGrid>
      <w:tr w:rsidR="00C31CDB" w:rsidRPr="000E7DAF" w14:paraId="782241E8" w14:textId="77777777" w:rsidTr="003976B6">
        <w:trPr>
          <w:jc w:val="center"/>
        </w:trPr>
        <w:tc>
          <w:tcPr>
            <w:tcW w:w="9205" w:type="dxa"/>
            <w:shd w:val="clear" w:color="auto" w:fill="C6D9F1" w:themeFill="text2" w:themeFillTint="33"/>
            <w:vAlign w:val="center"/>
          </w:tcPr>
          <w:p w14:paraId="22F04F63" w14:textId="77777777" w:rsidR="00C31CDB" w:rsidRPr="00A07012" w:rsidRDefault="00C31CDB" w:rsidP="0076173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A07012">
              <w:rPr>
                <w:b/>
                <w:sz w:val="22"/>
                <w:szCs w:val="22"/>
              </w:rPr>
              <w:t>Максимална средња снага</w:t>
            </w:r>
            <w:r w:rsidR="00ED2341">
              <w:rPr>
                <w:b/>
                <w:sz w:val="22"/>
                <w:szCs w:val="22"/>
              </w:rPr>
              <w:t xml:space="preserve"> </w:t>
            </w:r>
            <w:r w:rsidRPr="00A07012">
              <w:rPr>
                <w:b/>
                <w:sz w:val="22"/>
                <w:szCs w:val="22"/>
              </w:rPr>
              <w:t xml:space="preserve">унутар </w:t>
            </w:r>
            <w:r w:rsidR="002F6BCA" w:rsidRPr="00A07012">
              <w:rPr>
                <w:b/>
                <w:sz w:val="22"/>
                <w:szCs w:val="22"/>
              </w:rPr>
              <w:t>радио-фреквенци</w:t>
            </w:r>
            <w:r w:rsidR="00A76394" w:rsidRPr="00A07012">
              <w:rPr>
                <w:b/>
                <w:sz w:val="22"/>
                <w:szCs w:val="22"/>
              </w:rPr>
              <w:t>јс</w:t>
            </w:r>
            <w:r w:rsidR="002F6BCA" w:rsidRPr="00A07012">
              <w:rPr>
                <w:b/>
                <w:sz w:val="22"/>
                <w:szCs w:val="22"/>
              </w:rPr>
              <w:t xml:space="preserve">ког </w:t>
            </w:r>
            <w:r w:rsidRPr="00A07012">
              <w:rPr>
                <w:b/>
                <w:sz w:val="22"/>
                <w:szCs w:val="22"/>
              </w:rPr>
              <w:t>блока</w:t>
            </w:r>
            <w:r w:rsidR="00FF7234" w:rsidRPr="00D771B8"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6173E" w:rsidRPr="000E7DAF" w14:paraId="2EB8A0B1" w14:textId="77777777" w:rsidTr="00EC3B45">
        <w:trPr>
          <w:jc w:val="center"/>
        </w:trPr>
        <w:tc>
          <w:tcPr>
            <w:tcW w:w="9205" w:type="dxa"/>
            <w:vAlign w:val="center"/>
          </w:tcPr>
          <w:p w14:paraId="55476348" w14:textId="77777777" w:rsidR="0076173E" w:rsidRPr="00A07012" w:rsidRDefault="008F749B" w:rsidP="00520CEF">
            <w:pPr>
              <w:pStyle w:val="ListParagraph"/>
              <w:numPr>
                <w:ilvl w:val="0"/>
                <w:numId w:val="22"/>
              </w:num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d</w:t>
            </w:r>
            <w:r w:rsidR="0076173E" w:rsidRPr="00A07012">
              <w:rPr>
                <w:sz w:val="22"/>
                <w:szCs w:val="22"/>
                <w:lang w:val="en-GB"/>
              </w:rPr>
              <w:t xml:space="preserve">Bm </w:t>
            </w:r>
            <w:r w:rsidR="000E4952" w:rsidRPr="00A07012">
              <w:rPr>
                <w:sz w:val="22"/>
                <w:szCs w:val="22"/>
                <w:vertAlign w:val="superscript"/>
                <w:lang w:val="en-GB"/>
              </w:rPr>
              <w:t>(</w:t>
            </w:r>
            <w:r w:rsidR="00520CEF" w:rsidRPr="00A07012">
              <w:rPr>
                <w:sz w:val="22"/>
                <w:szCs w:val="22"/>
                <w:vertAlign w:val="superscript"/>
              </w:rPr>
              <w:t>1</w:t>
            </w:r>
            <w:r w:rsidR="00C31CDB" w:rsidRPr="00A07012">
              <w:rPr>
                <w:sz w:val="22"/>
                <w:szCs w:val="22"/>
                <w:vertAlign w:val="superscript"/>
                <w:lang w:val="en-GB"/>
              </w:rPr>
              <w:t>)</w:t>
            </w:r>
          </w:p>
        </w:tc>
      </w:tr>
      <w:tr w:rsidR="00C31CDB" w:rsidRPr="00FF7234" w14:paraId="2B5CF1C8" w14:textId="77777777" w:rsidTr="00EC3B45">
        <w:trPr>
          <w:jc w:val="center"/>
        </w:trPr>
        <w:tc>
          <w:tcPr>
            <w:tcW w:w="9205" w:type="dxa"/>
            <w:vAlign w:val="center"/>
          </w:tcPr>
          <w:p w14:paraId="7BF9707A" w14:textId="77777777" w:rsidR="00ED4FA7" w:rsidRPr="00A07012" w:rsidRDefault="00DC55A9" w:rsidP="007B61B9">
            <w:pPr>
              <w:pStyle w:val="ListParagraph"/>
              <w:numPr>
                <w:ilvl w:val="0"/>
                <w:numId w:val="28"/>
              </w:numPr>
              <w:spacing w:line="288" w:lineRule="auto"/>
              <w:jc w:val="both"/>
              <w:rPr>
                <w:sz w:val="22"/>
                <w:szCs w:val="22"/>
              </w:rPr>
            </w:pPr>
            <w:r w:rsidRPr="00A07012">
              <w:rPr>
                <w:sz w:val="22"/>
                <w:szCs w:val="22"/>
              </w:rPr>
              <w:t xml:space="preserve">Како би се узео у обзир рад у екстремним условима у окружењу и подржали различити произвођачи, наведена вредност дозвољава толеранцију од + 2 </w:t>
            </w:r>
            <w:r w:rsidRPr="00A07012">
              <w:rPr>
                <w:sz w:val="22"/>
                <w:szCs w:val="22"/>
                <w:lang w:val="en-GB"/>
              </w:rPr>
              <w:t>dB</w:t>
            </w:r>
            <w:r w:rsidRPr="00A07012">
              <w:rPr>
                <w:sz w:val="22"/>
                <w:szCs w:val="22"/>
              </w:rPr>
              <w:t>.</w:t>
            </w:r>
            <w:r w:rsidR="00ED4FA7" w:rsidRPr="00A07012">
              <w:rPr>
                <w:sz w:val="22"/>
                <w:szCs w:val="22"/>
              </w:rPr>
              <w:t xml:space="preserve"> Ограничења снаге </w:t>
            </w:r>
            <w:r w:rsidR="00ED2341">
              <w:rPr>
                <w:sz w:val="22"/>
                <w:szCs w:val="22"/>
              </w:rPr>
              <w:t xml:space="preserve">терминалне станице </w:t>
            </w:r>
            <w:r w:rsidR="00ED4FA7" w:rsidRPr="00A07012">
              <w:rPr>
                <w:sz w:val="22"/>
                <w:szCs w:val="22"/>
              </w:rPr>
              <w:t xml:space="preserve">изражена су као </w:t>
            </w:r>
            <w:r w:rsidR="00ED4FA7" w:rsidRPr="00A07012">
              <w:rPr>
                <w:rFonts w:eastAsia="Times New Roman"/>
                <w:i/>
                <w:iCs/>
                <w:sz w:val="22"/>
                <w:szCs w:val="22"/>
              </w:rPr>
              <w:t>e.i.r.p.</w:t>
            </w:r>
            <w:r w:rsidR="00ED4FA7" w:rsidRPr="00A07012">
              <w:rPr>
                <w:rFonts w:eastAsia="Times New Roman"/>
                <w:iCs/>
                <w:sz w:val="22"/>
                <w:szCs w:val="22"/>
              </w:rPr>
              <w:t xml:space="preserve"> за фиксне или уграђене терминалне станице и као тотална израчена снага за мобилне или номадске терминалне станице. За изотропне антене, еквивалентно изотропно израчена снага и тотално израчена снага су</w:t>
            </w:r>
            <w:r w:rsidR="00ED2341">
              <w:rPr>
                <w:rFonts w:eastAsia="Times New Roman"/>
                <w:iCs/>
                <w:sz w:val="22"/>
                <w:szCs w:val="22"/>
              </w:rPr>
              <w:t xml:space="preserve"> изједначене</w:t>
            </w:r>
            <w:r w:rsidR="009A0399" w:rsidRPr="00A07012">
              <w:rPr>
                <w:rFonts w:eastAsia="Times New Roman"/>
                <w:iCs/>
                <w:sz w:val="22"/>
                <w:szCs w:val="22"/>
              </w:rPr>
              <w:t xml:space="preserve">. За антене са усмереним дијаграмом зрачења, по дефиницији, </w:t>
            </w:r>
            <w:r w:rsidR="009A0399" w:rsidRPr="00A07012">
              <w:rPr>
                <w:rFonts w:eastAsia="Times New Roman"/>
                <w:i/>
                <w:iCs/>
                <w:sz w:val="22"/>
                <w:szCs w:val="22"/>
              </w:rPr>
              <w:t>e.i.r.p.</w:t>
            </w:r>
            <w:r w:rsidR="009A0399" w:rsidRPr="00A07012">
              <w:rPr>
                <w:rFonts w:eastAsia="Times New Roman"/>
                <w:iCs/>
                <w:sz w:val="22"/>
                <w:szCs w:val="22"/>
              </w:rPr>
              <w:t xml:space="preserve"> је у правцу главног снопа већа од тотално израчене снаге.</w:t>
            </w:r>
          </w:p>
        </w:tc>
      </w:tr>
    </w:tbl>
    <w:p w14:paraId="27B44A11" w14:textId="77777777" w:rsidR="007B61B9" w:rsidRDefault="007B61B9" w:rsidP="00927CC8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4A8A41CC" w14:textId="77777777" w:rsidR="007B61B9" w:rsidRDefault="007B61B9" w:rsidP="00927CC8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350AFDDC" w14:textId="77777777" w:rsidR="009A0399" w:rsidRPr="005D5CB2" w:rsidRDefault="009A0399" w:rsidP="00927CC8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Табела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11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 Ограничење снаге </w:t>
      </w: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терминалне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станице</w:t>
      </w:r>
      <w:proofErr w:type="spellEnd"/>
      <w:r w:rsidR="002F6BCA">
        <w:rPr>
          <w:rFonts w:eastAsia="Times New Roman"/>
          <w:b/>
          <w:i/>
          <w:iCs/>
          <w:sz w:val="22"/>
          <w:szCs w:val="22"/>
        </w:rPr>
        <w:t xml:space="preserve"> у </w:t>
      </w:r>
      <w:proofErr w:type="spellStart"/>
      <w:r w:rsidR="002F6BCA">
        <w:rPr>
          <w:rFonts w:eastAsia="Times New Roman"/>
          <w:b/>
          <w:i/>
          <w:iCs/>
          <w:sz w:val="22"/>
          <w:szCs w:val="22"/>
        </w:rPr>
        <w:t>мобилној</w:t>
      </w:r>
      <w:proofErr w:type="spellEnd"/>
      <w:r w:rsidR="002F6BCA">
        <w:rPr>
          <w:rFonts w:eastAsia="Times New Roman"/>
          <w:b/>
          <w:i/>
          <w:iCs/>
          <w:sz w:val="22"/>
          <w:szCs w:val="22"/>
        </w:rPr>
        <w:t>/</w:t>
      </w:r>
      <w:proofErr w:type="spellStart"/>
      <w:r w:rsidR="002F6BCA">
        <w:rPr>
          <w:rFonts w:eastAsia="Times New Roman"/>
          <w:b/>
          <w:i/>
          <w:iCs/>
          <w:sz w:val="22"/>
          <w:szCs w:val="22"/>
        </w:rPr>
        <w:t>фиксној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proofErr w:type="spellStart"/>
      <w:r w:rsidR="002F6BCA">
        <w:rPr>
          <w:rFonts w:eastAsia="Times New Roman"/>
          <w:b/>
          <w:i/>
          <w:iCs/>
          <w:sz w:val="22"/>
          <w:szCs w:val="22"/>
        </w:rPr>
        <w:t>комуникационој</w:t>
      </w:r>
      <w:proofErr w:type="spellEnd"/>
      <w:r w:rsidR="002F6BCA">
        <w:rPr>
          <w:rFonts w:eastAsia="Times New Roman"/>
          <w:b/>
          <w:i/>
          <w:iCs/>
          <w:sz w:val="22"/>
          <w:szCs w:val="22"/>
        </w:rPr>
        <w:t xml:space="preserve"> </w:t>
      </w:r>
      <w:proofErr w:type="spellStart"/>
      <w:r w:rsidR="002F6BCA">
        <w:rPr>
          <w:rFonts w:eastAsia="Times New Roman"/>
          <w:b/>
          <w:i/>
          <w:iCs/>
          <w:sz w:val="22"/>
          <w:szCs w:val="22"/>
        </w:rPr>
        <w:t>мрежи</w:t>
      </w:r>
      <w:proofErr w:type="spellEnd"/>
      <w:r w:rsidR="002F6BCA">
        <w:rPr>
          <w:rFonts w:eastAsia="Times New Roman"/>
          <w:b/>
          <w:i/>
          <w:iCs/>
          <w:sz w:val="22"/>
          <w:szCs w:val="22"/>
        </w:rPr>
        <w:t xml:space="preserve"> </w:t>
      </w: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унутар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заштитног</w:t>
      </w:r>
      <w:proofErr w:type="spellEnd"/>
      <w:r w:rsidR="00117775">
        <w:rPr>
          <w:rFonts w:eastAsia="Times New Roman"/>
          <w:b/>
          <w:i/>
          <w:iCs/>
          <w:sz w:val="22"/>
          <w:szCs w:val="22"/>
        </w:rPr>
        <w:t xml:space="preserve"> </w:t>
      </w:r>
      <w:proofErr w:type="spellStart"/>
      <w:r w:rsidR="00117775">
        <w:rPr>
          <w:rFonts w:eastAsia="Times New Roman"/>
          <w:b/>
          <w:i/>
          <w:iCs/>
          <w:sz w:val="22"/>
          <w:szCs w:val="22"/>
        </w:rPr>
        <w:t>радио-фреквенцијског</w:t>
      </w:r>
      <w:proofErr w:type="spellEnd"/>
      <w:r w:rsidRPr="005D5CB2">
        <w:rPr>
          <w:rFonts w:eastAsia="Times New Roman"/>
          <w:b/>
          <w:i/>
          <w:iCs/>
          <w:sz w:val="22"/>
          <w:szCs w:val="22"/>
        </w:rPr>
        <w:t xml:space="preserve"> </w:t>
      </w:r>
      <w:proofErr w:type="spellStart"/>
      <w:r w:rsidRPr="005D5CB2">
        <w:rPr>
          <w:rFonts w:eastAsia="Times New Roman"/>
          <w:b/>
          <w:i/>
          <w:iCs/>
          <w:sz w:val="22"/>
          <w:szCs w:val="22"/>
        </w:rPr>
        <w:t>опсега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4703"/>
        <w:gridCol w:w="2290"/>
        <w:gridCol w:w="2024"/>
      </w:tblGrid>
      <w:tr w:rsidR="002F6BCA" w:rsidRPr="004B0810" w14:paraId="69D3F679" w14:textId="77777777" w:rsidTr="007B61B9">
        <w:trPr>
          <w:jc w:val="center"/>
        </w:trPr>
        <w:tc>
          <w:tcPr>
            <w:tcW w:w="4703" w:type="dxa"/>
            <w:shd w:val="clear" w:color="auto" w:fill="C6D9F1" w:themeFill="text2" w:themeFillTint="33"/>
            <w:vAlign w:val="center"/>
          </w:tcPr>
          <w:p w14:paraId="01B9B718" w14:textId="77777777" w:rsidR="009A0399" w:rsidRPr="00A07012" w:rsidRDefault="002F6BCA" w:rsidP="00A07012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07012">
              <w:rPr>
                <w:b/>
                <w:sz w:val="22"/>
                <w:szCs w:val="22"/>
              </w:rPr>
              <w:t>Радио-ф</w:t>
            </w:r>
            <w:r w:rsidR="00651897" w:rsidRPr="00A07012">
              <w:rPr>
                <w:b/>
                <w:sz w:val="22"/>
                <w:szCs w:val="22"/>
              </w:rPr>
              <w:t xml:space="preserve">реквенцијски опсег емисија ван </w:t>
            </w:r>
            <w:r w:rsidRPr="00A07012">
              <w:rPr>
                <w:b/>
                <w:sz w:val="22"/>
                <w:szCs w:val="22"/>
              </w:rPr>
              <w:t xml:space="preserve">радио-фреквенцијског </w:t>
            </w:r>
            <w:r w:rsidR="00651897" w:rsidRPr="00A07012">
              <w:rPr>
                <w:b/>
                <w:sz w:val="22"/>
                <w:szCs w:val="22"/>
              </w:rPr>
              <w:t>блока</w:t>
            </w:r>
          </w:p>
        </w:tc>
        <w:tc>
          <w:tcPr>
            <w:tcW w:w="2290" w:type="dxa"/>
            <w:shd w:val="clear" w:color="auto" w:fill="C6D9F1" w:themeFill="text2" w:themeFillTint="33"/>
            <w:vAlign w:val="center"/>
          </w:tcPr>
          <w:p w14:paraId="4CB1C2D9" w14:textId="77777777" w:rsidR="009A0399" w:rsidRPr="00A07012" w:rsidRDefault="00651897" w:rsidP="00A07012">
            <w:pPr>
              <w:keepNext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Максимална средња </w:t>
            </w:r>
            <w:r w:rsidR="002F6BCA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еквивалентна изотропно израчена снага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ван</w:t>
            </w:r>
            <w:r w:rsidR="002F6BCA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 радио-фреквенцијског 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блока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14:paraId="5A8CE256" w14:textId="77777777" w:rsidR="009A0399" w:rsidRPr="00A07012" w:rsidRDefault="00651897" w:rsidP="00A07012">
            <w:pPr>
              <w:keepNext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2F6BCA" w:rsidRPr="004B0810" w14:paraId="0030D975" w14:textId="77777777" w:rsidTr="007B61B9">
        <w:trPr>
          <w:jc w:val="center"/>
        </w:trPr>
        <w:tc>
          <w:tcPr>
            <w:tcW w:w="4703" w:type="dxa"/>
            <w:vAlign w:val="center"/>
          </w:tcPr>
          <w:p w14:paraId="03A37C1E" w14:textId="77777777" w:rsidR="009A0399" w:rsidRPr="00A07012" w:rsidRDefault="009A0399" w:rsidP="00A07012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694 – 698 MHz</w:t>
            </w:r>
          </w:p>
        </w:tc>
        <w:tc>
          <w:tcPr>
            <w:tcW w:w="2290" w:type="dxa"/>
            <w:vAlign w:val="center"/>
          </w:tcPr>
          <w:p w14:paraId="31DD3D8D" w14:textId="77777777" w:rsidR="009A0399" w:rsidRPr="00A07012" w:rsidRDefault="009A0399" w:rsidP="00A07012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-7 dBm</w:t>
            </w:r>
          </w:p>
        </w:tc>
        <w:tc>
          <w:tcPr>
            <w:tcW w:w="2024" w:type="dxa"/>
            <w:vAlign w:val="center"/>
          </w:tcPr>
          <w:p w14:paraId="0F8F1BF9" w14:textId="77777777" w:rsidR="009A0399" w:rsidRPr="00A07012" w:rsidRDefault="009A0399" w:rsidP="00A07012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4 MHz</w:t>
            </w:r>
          </w:p>
        </w:tc>
      </w:tr>
      <w:tr w:rsidR="0054792B" w:rsidRPr="004B0810" w14:paraId="6D3FC517" w14:textId="77777777" w:rsidTr="007B61B9">
        <w:trPr>
          <w:jc w:val="center"/>
        </w:trPr>
        <w:tc>
          <w:tcPr>
            <w:tcW w:w="4703" w:type="dxa"/>
            <w:vAlign w:val="center"/>
          </w:tcPr>
          <w:p w14:paraId="6D13013E" w14:textId="77777777" w:rsidR="0054792B" w:rsidRPr="00A07012" w:rsidRDefault="0054792B" w:rsidP="00A07012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698 -703 MHz</w:t>
            </w:r>
          </w:p>
        </w:tc>
        <w:tc>
          <w:tcPr>
            <w:tcW w:w="2290" w:type="dxa"/>
            <w:vAlign w:val="center"/>
          </w:tcPr>
          <w:p w14:paraId="0D239A05" w14:textId="77777777" w:rsidR="0054792B" w:rsidRPr="00A07012" w:rsidRDefault="0054792B" w:rsidP="00A07012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2 dBm</w:t>
            </w:r>
          </w:p>
        </w:tc>
        <w:tc>
          <w:tcPr>
            <w:tcW w:w="2024" w:type="dxa"/>
            <w:vAlign w:val="center"/>
          </w:tcPr>
          <w:p w14:paraId="29D8624C" w14:textId="77777777" w:rsidR="0054792B" w:rsidRPr="00A07012" w:rsidRDefault="0054792B" w:rsidP="00A07012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</w:tbl>
    <w:p w14:paraId="4278E822" w14:textId="77777777" w:rsidR="000E7DAF" w:rsidRDefault="000E7DAF" w:rsidP="00BD02F4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336E4608" w14:textId="77777777" w:rsidR="003B5785" w:rsidRDefault="003B5785" w:rsidP="00BD02F4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2881670A" w14:textId="77777777" w:rsidR="00651897" w:rsidRPr="005D5CB2" w:rsidRDefault="00651897" w:rsidP="00927CC8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  <w:r w:rsidRPr="005D5CB2">
        <w:rPr>
          <w:rFonts w:eastAsia="Times New Roman"/>
          <w:b/>
          <w:i/>
          <w:iCs/>
          <w:sz w:val="22"/>
          <w:szCs w:val="22"/>
        </w:rPr>
        <w:t>Табела 12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– Ограничење снаге терминалне станице</w:t>
      </w:r>
      <w:r w:rsidR="002F6BCA">
        <w:rPr>
          <w:rFonts w:eastAsia="Times New Roman"/>
          <w:b/>
          <w:i/>
          <w:iCs/>
          <w:sz w:val="22"/>
          <w:szCs w:val="22"/>
        </w:rPr>
        <w:t xml:space="preserve"> у мобилној/фиксној комуникационој мрежи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унутар дуплексног размака </w:t>
      </w:r>
      <w:r w:rsidRPr="005D5CB2">
        <w:rPr>
          <w:b/>
          <w:i/>
          <w:sz w:val="22"/>
          <w:szCs w:val="22"/>
        </w:rPr>
        <w:t>(733-758 MHz)</w:t>
      </w:r>
      <w:r w:rsidRPr="005D5CB2">
        <w:rPr>
          <w:rFonts w:eastAsia="Times New Roman"/>
          <w:b/>
          <w:i/>
          <w:iCs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4855"/>
        <w:gridCol w:w="2307"/>
        <w:gridCol w:w="2081"/>
      </w:tblGrid>
      <w:tr w:rsidR="00651897" w:rsidRPr="009B4F26" w14:paraId="7F221F6E" w14:textId="77777777" w:rsidTr="007B61B9">
        <w:trPr>
          <w:jc w:val="center"/>
        </w:trPr>
        <w:tc>
          <w:tcPr>
            <w:tcW w:w="4855" w:type="dxa"/>
            <w:shd w:val="clear" w:color="auto" w:fill="C6D9F1" w:themeFill="text2" w:themeFillTint="33"/>
            <w:vAlign w:val="center"/>
          </w:tcPr>
          <w:p w14:paraId="075AC513" w14:textId="77777777" w:rsidR="00651897" w:rsidRPr="00A07012" w:rsidRDefault="002F6BCA" w:rsidP="00A0701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b/>
                <w:sz w:val="22"/>
                <w:szCs w:val="22"/>
              </w:rPr>
              <w:t>Радио-ф</w:t>
            </w:r>
            <w:r w:rsidR="00651897" w:rsidRPr="00A07012">
              <w:rPr>
                <w:b/>
                <w:sz w:val="22"/>
                <w:szCs w:val="22"/>
              </w:rPr>
              <w:t>реквенцијски опсег емисија ван</w:t>
            </w:r>
            <w:r w:rsidRPr="00A07012">
              <w:rPr>
                <w:b/>
                <w:sz w:val="22"/>
                <w:szCs w:val="22"/>
              </w:rPr>
              <w:t xml:space="preserve"> радио-фреквенциј</w:t>
            </w:r>
            <w:r w:rsidR="00E25C93" w:rsidRPr="00A07012">
              <w:rPr>
                <w:b/>
                <w:sz w:val="22"/>
                <w:szCs w:val="22"/>
              </w:rPr>
              <w:t>ског</w:t>
            </w:r>
            <w:r w:rsidR="00651897" w:rsidRPr="00A07012">
              <w:rPr>
                <w:b/>
                <w:sz w:val="22"/>
                <w:szCs w:val="22"/>
              </w:rPr>
              <w:t xml:space="preserve"> блока</w:t>
            </w:r>
          </w:p>
        </w:tc>
        <w:tc>
          <w:tcPr>
            <w:tcW w:w="2307" w:type="dxa"/>
            <w:shd w:val="clear" w:color="auto" w:fill="C6D9F1" w:themeFill="text2" w:themeFillTint="33"/>
            <w:vAlign w:val="center"/>
          </w:tcPr>
          <w:p w14:paraId="40472698" w14:textId="77777777" w:rsidR="00EA0CF0" w:rsidRDefault="00651897" w:rsidP="00A07012">
            <w:pPr>
              <w:keepNext/>
              <w:jc w:val="center"/>
              <w:rPr>
                <w:rFonts w:eastAsia="Times New Roman"/>
                <w:b/>
                <w:iCs/>
                <w:sz w:val="22"/>
                <w:szCs w:val="22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Максимална средња </w:t>
            </w:r>
            <w:r w:rsidR="002F6BCA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еквивалентна изотропно израчена снага </w:t>
            </w:r>
            <w:r w:rsidRPr="00A07012">
              <w:rPr>
                <w:rFonts w:eastAsia="Times New Roman"/>
                <w:b/>
                <w:i/>
                <w:iCs/>
                <w:sz w:val="22"/>
                <w:szCs w:val="22"/>
              </w:rPr>
              <w:t>e.i.r.p.</w:t>
            </w:r>
          </w:p>
          <w:p w14:paraId="04A07402" w14:textId="77777777" w:rsidR="00651897" w:rsidRPr="00A07012" w:rsidRDefault="00651897" w:rsidP="00A07012">
            <w:pPr>
              <w:keepNext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ван </w:t>
            </w:r>
            <w:r w:rsidR="002F6BCA" w:rsidRPr="00A07012">
              <w:rPr>
                <w:rFonts w:eastAsia="Times New Roman"/>
                <w:b/>
                <w:iCs/>
                <w:sz w:val="22"/>
                <w:szCs w:val="22"/>
              </w:rPr>
              <w:t xml:space="preserve">радио-фрекенцијског </w:t>
            </w: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блока</w:t>
            </w:r>
          </w:p>
        </w:tc>
        <w:tc>
          <w:tcPr>
            <w:tcW w:w="2081" w:type="dxa"/>
            <w:shd w:val="clear" w:color="auto" w:fill="C6D9F1" w:themeFill="text2" w:themeFillTint="33"/>
            <w:vAlign w:val="center"/>
          </w:tcPr>
          <w:p w14:paraId="1A8F1B97" w14:textId="77777777" w:rsidR="00651897" w:rsidRPr="00A07012" w:rsidRDefault="00651897" w:rsidP="00A07012">
            <w:pPr>
              <w:keepNext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651897" w:rsidRPr="009B4F26" w14:paraId="386B6ED6" w14:textId="77777777" w:rsidTr="007B61B9">
        <w:trPr>
          <w:jc w:val="center"/>
        </w:trPr>
        <w:tc>
          <w:tcPr>
            <w:tcW w:w="4855" w:type="dxa"/>
            <w:vAlign w:val="center"/>
          </w:tcPr>
          <w:p w14:paraId="5B1CCC46" w14:textId="77777777" w:rsidR="00651897" w:rsidRPr="00A07012" w:rsidRDefault="00651897" w:rsidP="00651897">
            <w:pPr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733-738 MHz</w:t>
            </w:r>
          </w:p>
        </w:tc>
        <w:tc>
          <w:tcPr>
            <w:tcW w:w="2307" w:type="dxa"/>
            <w:vAlign w:val="center"/>
          </w:tcPr>
          <w:p w14:paraId="7AD58972" w14:textId="77777777" w:rsidR="00651897" w:rsidRPr="00A07012" w:rsidRDefault="0065189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2 dBm</w:t>
            </w:r>
          </w:p>
        </w:tc>
        <w:tc>
          <w:tcPr>
            <w:tcW w:w="2081" w:type="dxa"/>
            <w:vAlign w:val="center"/>
          </w:tcPr>
          <w:p w14:paraId="6D06C975" w14:textId="77777777" w:rsidR="00651897" w:rsidRPr="00A07012" w:rsidRDefault="0065189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651897" w:rsidRPr="009B4F26" w14:paraId="57B886A5" w14:textId="77777777" w:rsidTr="007B61B9">
        <w:trPr>
          <w:jc w:val="center"/>
        </w:trPr>
        <w:tc>
          <w:tcPr>
            <w:tcW w:w="4855" w:type="dxa"/>
            <w:vAlign w:val="center"/>
          </w:tcPr>
          <w:p w14:paraId="0C87DFC9" w14:textId="77777777" w:rsidR="00651897" w:rsidRPr="00A07012" w:rsidRDefault="00651897" w:rsidP="00651897">
            <w:pPr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738 – 753 MHz (</w:t>
            </w:r>
            <w:r w:rsidRPr="00A07012">
              <w:rPr>
                <w:sz w:val="22"/>
                <w:szCs w:val="22"/>
              </w:rPr>
              <w:t xml:space="preserve">не примењује се на </w:t>
            </w:r>
            <w:r w:rsidR="00E25C93" w:rsidRPr="00A07012">
              <w:rPr>
                <w:sz w:val="22"/>
                <w:szCs w:val="22"/>
              </w:rPr>
              <w:t xml:space="preserve">радио-фреквенцијске </w:t>
            </w:r>
            <w:r w:rsidRPr="00A07012">
              <w:rPr>
                <w:sz w:val="22"/>
                <w:szCs w:val="22"/>
              </w:rPr>
              <w:t>блокове који се користе за</w:t>
            </w:r>
            <w:r w:rsidRPr="00A07012">
              <w:rPr>
                <w:sz w:val="22"/>
                <w:szCs w:val="22"/>
                <w:lang w:val="en-GB"/>
              </w:rPr>
              <w:t xml:space="preserve"> SDL) </w:t>
            </w:r>
          </w:p>
        </w:tc>
        <w:tc>
          <w:tcPr>
            <w:tcW w:w="2307" w:type="dxa"/>
            <w:vAlign w:val="center"/>
          </w:tcPr>
          <w:p w14:paraId="53A0E5E7" w14:textId="77777777" w:rsidR="00651897" w:rsidRPr="00A07012" w:rsidRDefault="0065189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-6 dBm</w:t>
            </w:r>
          </w:p>
        </w:tc>
        <w:tc>
          <w:tcPr>
            <w:tcW w:w="2081" w:type="dxa"/>
            <w:vAlign w:val="center"/>
          </w:tcPr>
          <w:p w14:paraId="5EA0BE7C" w14:textId="77777777" w:rsidR="00651897" w:rsidRPr="00A07012" w:rsidRDefault="0065189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  <w:tr w:rsidR="00651897" w:rsidRPr="009B4F26" w14:paraId="6DBA7379" w14:textId="77777777" w:rsidTr="007B61B9">
        <w:trPr>
          <w:jc w:val="center"/>
        </w:trPr>
        <w:tc>
          <w:tcPr>
            <w:tcW w:w="4855" w:type="dxa"/>
            <w:vAlign w:val="center"/>
          </w:tcPr>
          <w:p w14:paraId="5D123B7C" w14:textId="77777777" w:rsidR="00651897" w:rsidRPr="00A07012" w:rsidRDefault="00651897" w:rsidP="00651897">
            <w:pPr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 xml:space="preserve">753 – 758 MHz </w:t>
            </w:r>
          </w:p>
        </w:tc>
        <w:tc>
          <w:tcPr>
            <w:tcW w:w="2307" w:type="dxa"/>
            <w:vAlign w:val="center"/>
          </w:tcPr>
          <w:p w14:paraId="1F80F232" w14:textId="77777777" w:rsidR="00651897" w:rsidRPr="00A07012" w:rsidRDefault="0065189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-18 dBm</w:t>
            </w:r>
          </w:p>
        </w:tc>
        <w:tc>
          <w:tcPr>
            <w:tcW w:w="2081" w:type="dxa"/>
            <w:vAlign w:val="center"/>
          </w:tcPr>
          <w:p w14:paraId="30D81C17" w14:textId="77777777" w:rsidR="00651897" w:rsidRPr="00A07012" w:rsidRDefault="00651897" w:rsidP="00A07012">
            <w:p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5 MHz</w:t>
            </w:r>
          </w:p>
        </w:tc>
      </w:tr>
    </w:tbl>
    <w:p w14:paraId="24ECCFFC" w14:textId="77777777" w:rsidR="00651897" w:rsidRDefault="00651897" w:rsidP="00A07012">
      <w:pPr>
        <w:rPr>
          <w:rFonts w:eastAsia="Times New Roman"/>
          <w:i/>
          <w:iCs/>
          <w:sz w:val="22"/>
          <w:szCs w:val="22"/>
        </w:rPr>
      </w:pPr>
      <w:bookmarkStart w:id="3" w:name="_Ref395600120"/>
    </w:p>
    <w:p w14:paraId="2BF3C719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4229C7AC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57DDF729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795FCC63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6B30F2C4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4FDE2C55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19579EB6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517059D3" w14:textId="77777777" w:rsid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5E32C5D9" w14:textId="77777777" w:rsidR="007B61B9" w:rsidRPr="007B61B9" w:rsidRDefault="007B61B9" w:rsidP="00A07012">
      <w:pPr>
        <w:rPr>
          <w:rFonts w:eastAsia="Times New Roman"/>
          <w:i/>
          <w:iCs/>
          <w:sz w:val="22"/>
          <w:szCs w:val="22"/>
        </w:rPr>
      </w:pPr>
    </w:p>
    <w:p w14:paraId="5CDCF9A3" w14:textId="77777777" w:rsidR="00362364" w:rsidRDefault="00362364" w:rsidP="002064C4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</w:p>
    <w:p w14:paraId="2461B9F5" w14:textId="77777777" w:rsidR="00581AE2" w:rsidRDefault="00651897" w:rsidP="002064C4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  <w:r w:rsidRPr="005D5CB2">
        <w:rPr>
          <w:rFonts w:eastAsia="Times New Roman"/>
          <w:b/>
          <w:i/>
          <w:iCs/>
          <w:sz w:val="22"/>
          <w:szCs w:val="22"/>
        </w:rPr>
        <w:lastRenderedPageBreak/>
        <w:t>Табела 13</w:t>
      </w:r>
      <w:r w:rsidR="00E14840">
        <w:rPr>
          <w:rFonts w:eastAsia="Times New Roman"/>
          <w:b/>
          <w:i/>
          <w:iCs/>
          <w:sz w:val="22"/>
          <w:szCs w:val="22"/>
        </w:rPr>
        <w:t>.</w:t>
      </w:r>
      <w:r w:rsidRPr="005D5CB2">
        <w:rPr>
          <w:rFonts w:eastAsia="Times New Roman"/>
          <w:b/>
          <w:i/>
          <w:iCs/>
          <w:sz w:val="22"/>
          <w:szCs w:val="22"/>
        </w:rPr>
        <w:t xml:space="preserve"> Ограничење снаге терминалне станице</w:t>
      </w:r>
      <w:r w:rsidR="00E25C93">
        <w:rPr>
          <w:rFonts w:eastAsia="Times New Roman"/>
          <w:b/>
          <w:i/>
          <w:iCs/>
          <w:sz w:val="22"/>
          <w:szCs w:val="22"/>
        </w:rPr>
        <w:t xml:space="preserve"> у мобилној/фиксној комуникационој </w:t>
      </w:r>
      <w:r w:rsidR="00581AE2">
        <w:rPr>
          <w:rFonts w:eastAsia="Times New Roman"/>
          <w:b/>
          <w:i/>
          <w:iCs/>
          <w:sz w:val="22"/>
          <w:szCs w:val="22"/>
        </w:rPr>
        <w:t xml:space="preserve">  </w:t>
      </w:r>
    </w:p>
    <w:p w14:paraId="5427BA61" w14:textId="77777777" w:rsidR="00581AE2" w:rsidRPr="005D5CB2" w:rsidRDefault="00581AE2" w:rsidP="002064C4">
      <w:pPr>
        <w:ind w:firstLine="450"/>
        <w:jc w:val="center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</w:t>
      </w:r>
      <w:r w:rsidR="00E25C93">
        <w:rPr>
          <w:rFonts w:eastAsia="Times New Roman"/>
          <w:b/>
          <w:i/>
          <w:iCs/>
          <w:sz w:val="22"/>
          <w:szCs w:val="22"/>
        </w:rPr>
        <w:t>мрежи</w:t>
      </w:r>
      <w:r w:rsidR="00651897" w:rsidRPr="005D5CB2">
        <w:rPr>
          <w:rFonts w:eastAsia="Times New Roman"/>
          <w:b/>
          <w:i/>
          <w:iCs/>
          <w:sz w:val="22"/>
          <w:szCs w:val="22"/>
        </w:rPr>
        <w:t xml:space="preserve"> – нежељене емисије унутар </w:t>
      </w:r>
      <w:r w:rsidR="00B61FB2">
        <w:rPr>
          <w:rFonts w:eastAsia="Times New Roman"/>
          <w:b/>
          <w:i/>
          <w:iCs/>
          <w:sz w:val="22"/>
          <w:szCs w:val="22"/>
        </w:rPr>
        <w:t xml:space="preserve">радио-фреквенцијског </w:t>
      </w:r>
      <w:r w:rsidR="00654E5E" w:rsidRPr="005D5CB2">
        <w:rPr>
          <w:rFonts w:eastAsia="Times New Roman"/>
          <w:b/>
          <w:i/>
          <w:iCs/>
          <w:sz w:val="22"/>
          <w:szCs w:val="22"/>
        </w:rPr>
        <w:t xml:space="preserve">опсега </w:t>
      </w:r>
      <w:r w:rsidR="00651897" w:rsidRPr="005D5CB2">
        <w:rPr>
          <w:rFonts w:eastAsia="Times New Roman"/>
          <w:b/>
          <w:i/>
          <w:iCs/>
          <w:sz w:val="22"/>
          <w:szCs w:val="22"/>
        </w:rPr>
        <w:t>радио-дифузне службе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3828"/>
        <w:gridCol w:w="3260"/>
        <w:gridCol w:w="2126"/>
      </w:tblGrid>
      <w:tr w:rsidR="00654E5E" w:rsidRPr="000E7DAF" w14:paraId="46460496" w14:textId="77777777" w:rsidTr="007B61B9">
        <w:trPr>
          <w:jc w:val="center"/>
        </w:trPr>
        <w:tc>
          <w:tcPr>
            <w:tcW w:w="3828" w:type="dxa"/>
            <w:shd w:val="clear" w:color="auto" w:fill="C6D9F1" w:themeFill="text2" w:themeFillTint="33"/>
            <w:vAlign w:val="center"/>
          </w:tcPr>
          <w:p w14:paraId="1325F4EE" w14:textId="77777777" w:rsidR="00654E5E" w:rsidRPr="00A07012" w:rsidRDefault="00E25C93" w:rsidP="00A07012">
            <w:pPr>
              <w:keepNext/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b/>
                <w:sz w:val="22"/>
                <w:szCs w:val="22"/>
              </w:rPr>
              <w:t>Радио-ф</w:t>
            </w:r>
            <w:r w:rsidR="00654E5E" w:rsidRPr="00A07012">
              <w:rPr>
                <w:b/>
                <w:sz w:val="22"/>
                <w:szCs w:val="22"/>
              </w:rPr>
              <w:t>реквенцијски опсег нежељених емисија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32321233" w14:textId="77777777" w:rsidR="00654E5E" w:rsidRPr="00A07012" w:rsidRDefault="00654E5E" w:rsidP="00A07012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A07012">
              <w:rPr>
                <w:b/>
                <w:sz w:val="22"/>
                <w:szCs w:val="22"/>
              </w:rPr>
              <w:t>Максимална средња снага</w:t>
            </w:r>
            <w:r w:rsidR="00ED2341">
              <w:rPr>
                <w:b/>
                <w:sz w:val="22"/>
                <w:szCs w:val="22"/>
              </w:rPr>
              <w:t xml:space="preserve"> </w:t>
            </w:r>
            <w:r w:rsidRPr="00A07012">
              <w:rPr>
                <w:b/>
                <w:sz w:val="22"/>
                <w:szCs w:val="22"/>
              </w:rPr>
              <w:t>нежељене емисије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5F0E9CC" w14:textId="77777777" w:rsidR="00654E5E" w:rsidRPr="00A07012" w:rsidRDefault="00654E5E" w:rsidP="00A07012">
            <w:pPr>
              <w:keepNext/>
              <w:spacing w:line="288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A07012">
              <w:rPr>
                <w:rFonts w:eastAsia="Times New Roman"/>
                <w:b/>
                <w:iCs/>
                <w:sz w:val="22"/>
                <w:szCs w:val="22"/>
              </w:rPr>
              <w:t>Ширина опсега мерења</w:t>
            </w:r>
          </w:p>
        </w:tc>
      </w:tr>
      <w:tr w:rsidR="00651897" w:rsidRPr="000E7DAF" w14:paraId="4A8F1A33" w14:textId="77777777" w:rsidTr="007B61B9">
        <w:trPr>
          <w:jc w:val="center"/>
        </w:trPr>
        <w:tc>
          <w:tcPr>
            <w:tcW w:w="3828" w:type="dxa"/>
            <w:vAlign w:val="center"/>
          </w:tcPr>
          <w:p w14:paraId="072AC14B" w14:textId="77777777" w:rsidR="00651897" w:rsidRPr="00A07012" w:rsidRDefault="00651897" w:rsidP="00A07012">
            <w:pPr>
              <w:keepNext/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470-694 MHz</w:t>
            </w:r>
          </w:p>
        </w:tc>
        <w:tc>
          <w:tcPr>
            <w:tcW w:w="3260" w:type="dxa"/>
            <w:vAlign w:val="center"/>
          </w:tcPr>
          <w:p w14:paraId="0E4602B6" w14:textId="77777777" w:rsidR="00651897" w:rsidRPr="00A07012" w:rsidRDefault="00651897" w:rsidP="00A07012">
            <w:pPr>
              <w:keepNext/>
              <w:spacing w:line="288" w:lineRule="auto"/>
              <w:jc w:val="center"/>
              <w:rPr>
                <w:sz w:val="22"/>
                <w:szCs w:val="22"/>
              </w:rPr>
            </w:pPr>
            <w:r w:rsidRPr="00A07012">
              <w:rPr>
                <w:sz w:val="22"/>
                <w:szCs w:val="22"/>
                <w:lang w:val="en-GB"/>
              </w:rPr>
              <w:t>-42 dBm</w:t>
            </w:r>
            <w:r w:rsidR="0022714E" w:rsidRPr="00A07012">
              <w:rPr>
                <w:sz w:val="22"/>
                <w:szCs w:val="22"/>
              </w:rPr>
              <w:t xml:space="preserve"> </w:t>
            </w:r>
            <w:r w:rsidR="0022714E" w:rsidRPr="00A07012">
              <w:rPr>
                <w:sz w:val="22"/>
                <w:szCs w:val="22"/>
                <w:vertAlign w:val="superscript"/>
                <w:lang w:val="en-GB"/>
              </w:rPr>
              <w:t>(</w:t>
            </w:r>
            <w:r w:rsidR="00520CEF" w:rsidRPr="00A07012">
              <w:rPr>
                <w:sz w:val="22"/>
                <w:szCs w:val="22"/>
                <w:vertAlign w:val="superscript"/>
              </w:rPr>
              <w:t>1</w:t>
            </w:r>
            <w:r w:rsidR="0022714E" w:rsidRPr="00A07012">
              <w:rPr>
                <w:sz w:val="22"/>
                <w:szCs w:val="22"/>
                <w:vertAlign w:val="superscript"/>
                <w:lang w:val="en-GB"/>
              </w:rPr>
              <w:t>)</w:t>
            </w:r>
            <w:r w:rsidR="00055373" w:rsidRPr="00A07012">
              <w:rPr>
                <w:sz w:val="22"/>
                <w:szCs w:val="22"/>
                <w:vertAlign w:val="superscript"/>
                <w:lang w:val="en-GB"/>
              </w:rPr>
              <w:t xml:space="preserve"> (</w:t>
            </w:r>
            <w:r w:rsidR="00055373" w:rsidRPr="00A07012">
              <w:rPr>
                <w:sz w:val="22"/>
                <w:szCs w:val="22"/>
                <w:vertAlign w:val="superscript"/>
              </w:rPr>
              <w:t>2</w:t>
            </w:r>
            <w:r w:rsidR="00055373" w:rsidRPr="00A07012">
              <w:rPr>
                <w:sz w:val="22"/>
                <w:szCs w:val="22"/>
                <w:vertAlign w:val="superscript"/>
                <w:lang w:val="en-GB"/>
              </w:rPr>
              <w:t>)</w:t>
            </w:r>
          </w:p>
        </w:tc>
        <w:tc>
          <w:tcPr>
            <w:tcW w:w="2126" w:type="dxa"/>
            <w:vAlign w:val="center"/>
          </w:tcPr>
          <w:p w14:paraId="2EE2B6E4" w14:textId="77777777" w:rsidR="00651897" w:rsidRPr="00A07012" w:rsidRDefault="00651897" w:rsidP="00A07012">
            <w:pPr>
              <w:pStyle w:val="ListParagraph"/>
              <w:keepNext/>
              <w:numPr>
                <w:ilvl w:val="0"/>
                <w:numId w:val="26"/>
              </w:numPr>
              <w:spacing w:line="288" w:lineRule="auto"/>
              <w:jc w:val="center"/>
              <w:rPr>
                <w:sz w:val="22"/>
                <w:szCs w:val="22"/>
                <w:lang w:val="en-GB"/>
              </w:rPr>
            </w:pPr>
            <w:r w:rsidRPr="00A07012">
              <w:rPr>
                <w:sz w:val="22"/>
                <w:szCs w:val="22"/>
                <w:lang w:val="en-GB"/>
              </w:rPr>
              <w:t>MHz</w:t>
            </w:r>
          </w:p>
        </w:tc>
      </w:tr>
      <w:tr w:rsidR="0022714E" w:rsidRPr="00B61FB2" w14:paraId="40501A07" w14:textId="77777777" w:rsidTr="007B61B9">
        <w:trPr>
          <w:jc w:val="center"/>
        </w:trPr>
        <w:tc>
          <w:tcPr>
            <w:tcW w:w="9214" w:type="dxa"/>
            <w:gridSpan w:val="3"/>
            <w:vAlign w:val="center"/>
          </w:tcPr>
          <w:p w14:paraId="6EECFA67" w14:textId="77777777" w:rsidR="00055373" w:rsidRPr="00A07012" w:rsidRDefault="007F3ABA" w:rsidP="00A07012">
            <w:pPr>
              <w:pStyle w:val="ListParagraph"/>
              <w:keepNext/>
              <w:numPr>
                <w:ilvl w:val="0"/>
                <w:numId w:val="27"/>
              </w:numPr>
              <w:spacing w:line="288" w:lineRule="auto"/>
              <w:jc w:val="both"/>
              <w:rPr>
                <w:sz w:val="22"/>
                <w:szCs w:val="22"/>
              </w:rPr>
            </w:pPr>
            <w:r w:rsidRPr="00A07012">
              <w:rPr>
                <w:sz w:val="22"/>
                <w:szCs w:val="22"/>
              </w:rPr>
              <w:t xml:space="preserve">Ова вредност је дефинисана подразумевајући ширину </w:t>
            </w:r>
            <w:r w:rsidRPr="00A07012">
              <w:rPr>
                <w:sz w:val="22"/>
                <w:szCs w:val="22"/>
                <w:lang w:val="en-GB"/>
              </w:rPr>
              <w:t xml:space="preserve">DVB-T2 </w:t>
            </w:r>
            <w:r w:rsidRPr="00A07012">
              <w:rPr>
                <w:sz w:val="22"/>
                <w:szCs w:val="22"/>
              </w:rPr>
              <w:t xml:space="preserve">канала од </w:t>
            </w:r>
            <w:r w:rsidRPr="00A07012">
              <w:rPr>
                <w:sz w:val="22"/>
                <w:szCs w:val="22"/>
                <w:lang w:val="en-GB"/>
              </w:rPr>
              <w:t>8 MHz</w:t>
            </w:r>
            <w:r w:rsidRPr="00A07012">
              <w:rPr>
                <w:sz w:val="22"/>
                <w:szCs w:val="22"/>
              </w:rPr>
              <w:t xml:space="preserve">, </w:t>
            </w:r>
            <w:r w:rsidRPr="00A07012">
              <w:rPr>
                <w:sz w:val="22"/>
                <w:szCs w:val="22"/>
                <w:lang w:val="en-GB"/>
              </w:rPr>
              <w:t>DTT</w:t>
            </w:r>
            <w:r w:rsidRPr="00A07012">
              <w:rPr>
                <w:sz w:val="22"/>
                <w:szCs w:val="22"/>
              </w:rPr>
              <w:t xml:space="preserve"> фиксни пријем</w:t>
            </w:r>
            <w:r w:rsidRPr="00A07012">
              <w:rPr>
                <w:sz w:val="22"/>
                <w:szCs w:val="22"/>
                <w:lang w:val="en-GB"/>
              </w:rPr>
              <w:t xml:space="preserve"> </w:t>
            </w:r>
            <w:r w:rsidRPr="00A07012">
              <w:rPr>
                <w:sz w:val="22"/>
                <w:szCs w:val="22"/>
              </w:rPr>
              <w:t xml:space="preserve">и ширину </w:t>
            </w:r>
            <w:r w:rsidR="00C56E87" w:rsidRPr="00A07012">
              <w:rPr>
                <w:sz w:val="22"/>
                <w:szCs w:val="22"/>
              </w:rPr>
              <w:t xml:space="preserve">опсега </w:t>
            </w:r>
            <w:r w:rsidRPr="00A07012">
              <w:rPr>
                <w:sz w:val="22"/>
                <w:szCs w:val="22"/>
                <w:lang w:val="en-GB"/>
              </w:rPr>
              <w:t xml:space="preserve">MFCN </w:t>
            </w:r>
            <w:r w:rsidR="00C56E87" w:rsidRPr="00A07012">
              <w:rPr>
                <w:sz w:val="22"/>
                <w:szCs w:val="22"/>
              </w:rPr>
              <w:t>система</w:t>
            </w:r>
            <w:r w:rsidRPr="00A07012">
              <w:rPr>
                <w:sz w:val="22"/>
                <w:szCs w:val="22"/>
              </w:rPr>
              <w:t xml:space="preserve"> од</w:t>
            </w:r>
            <w:r w:rsidR="000E4952" w:rsidRPr="00A07012">
              <w:rPr>
                <w:sz w:val="22"/>
                <w:szCs w:val="22"/>
              </w:rPr>
              <w:t xml:space="preserve"> </w:t>
            </w:r>
            <w:r w:rsidRPr="00A07012">
              <w:rPr>
                <w:sz w:val="22"/>
                <w:szCs w:val="22"/>
              </w:rPr>
              <w:t xml:space="preserve">10 </w:t>
            </w:r>
            <w:r w:rsidRPr="00A07012">
              <w:rPr>
                <w:sz w:val="22"/>
                <w:szCs w:val="22"/>
                <w:lang w:val="en-GB"/>
              </w:rPr>
              <w:t>MHz</w:t>
            </w:r>
            <w:r w:rsidRPr="00A07012">
              <w:rPr>
                <w:sz w:val="22"/>
                <w:szCs w:val="22"/>
              </w:rPr>
              <w:t xml:space="preserve"> (</w:t>
            </w:r>
            <w:r w:rsidR="00DD45E7" w:rsidRPr="00A07012">
              <w:rPr>
                <w:sz w:val="22"/>
                <w:szCs w:val="22"/>
              </w:rPr>
              <w:t xml:space="preserve">размак централних фреквенција </w:t>
            </w:r>
            <w:r w:rsidR="00DD45E7" w:rsidRPr="00A07012">
              <w:rPr>
                <w:sz w:val="22"/>
                <w:szCs w:val="22"/>
                <w:lang w:val="en-GB"/>
              </w:rPr>
              <w:t xml:space="preserve">DTT </w:t>
            </w:r>
            <w:r w:rsidR="00DD45E7" w:rsidRPr="00A07012">
              <w:rPr>
                <w:sz w:val="22"/>
                <w:szCs w:val="22"/>
              </w:rPr>
              <w:t xml:space="preserve">и </w:t>
            </w:r>
            <w:r w:rsidR="00DD45E7" w:rsidRPr="00A07012">
              <w:rPr>
                <w:sz w:val="22"/>
                <w:szCs w:val="22"/>
                <w:lang w:val="en-GB"/>
              </w:rPr>
              <w:t>MFCN</w:t>
            </w:r>
            <w:r w:rsidR="00DD45E7" w:rsidRPr="00A07012">
              <w:rPr>
                <w:sz w:val="22"/>
                <w:szCs w:val="22"/>
              </w:rPr>
              <w:t xml:space="preserve"> система је 18 </w:t>
            </w:r>
            <w:r w:rsidR="000E4952" w:rsidRPr="00A07012">
              <w:rPr>
                <w:sz w:val="22"/>
                <w:szCs w:val="22"/>
                <w:lang w:val="en-GB"/>
              </w:rPr>
              <w:t xml:space="preserve">MHz, </w:t>
            </w:r>
            <w:r w:rsidR="000E4952" w:rsidRPr="00A07012">
              <w:rPr>
                <w:sz w:val="22"/>
                <w:szCs w:val="22"/>
              </w:rPr>
              <w:t>од којих је</w:t>
            </w:r>
            <w:r w:rsidR="00DD45E7" w:rsidRPr="00A07012">
              <w:rPr>
                <w:sz w:val="22"/>
                <w:szCs w:val="22"/>
                <w:lang w:val="en-GB"/>
              </w:rPr>
              <w:t xml:space="preserve"> 9 </w:t>
            </w:r>
            <w:r w:rsidR="00DD45E7" w:rsidRPr="00A07012">
              <w:rPr>
                <w:sz w:val="22"/>
                <w:szCs w:val="22"/>
              </w:rPr>
              <w:t xml:space="preserve">MHz заштитни </w:t>
            </w:r>
            <w:r w:rsidR="003C0002">
              <w:rPr>
                <w:sz w:val="22"/>
                <w:szCs w:val="22"/>
              </w:rPr>
              <w:t xml:space="preserve">радио-фреквенцијски </w:t>
            </w:r>
            <w:r w:rsidR="00DD45E7" w:rsidRPr="00A07012">
              <w:rPr>
                <w:sz w:val="22"/>
                <w:szCs w:val="22"/>
              </w:rPr>
              <w:t>опсег</w:t>
            </w:r>
            <w:r w:rsidRPr="00A07012">
              <w:rPr>
                <w:sz w:val="22"/>
                <w:szCs w:val="22"/>
              </w:rPr>
              <w:t>)</w:t>
            </w:r>
            <w:r w:rsidR="00DD45E7" w:rsidRPr="00A07012">
              <w:rPr>
                <w:sz w:val="22"/>
                <w:szCs w:val="22"/>
              </w:rPr>
              <w:t>.</w:t>
            </w:r>
          </w:p>
          <w:p w14:paraId="144F467E" w14:textId="77777777" w:rsidR="0022714E" w:rsidRPr="00A07012" w:rsidRDefault="00055373" w:rsidP="00A07012">
            <w:pPr>
              <w:pStyle w:val="ListParagraph"/>
              <w:keepNext/>
              <w:numPr>
                <w:ilvl w:val="0"/>
                <w:numId w:val="27"/>
              </w:numPr>
              <w:spacing w:line="288" w:lineRule="auto"/>
              <w:jc w:val="both"/>
              <w:rPr>
                <w:sz w:val="18"/>
                <w:szCs w:val="18"/>
              </w:rPr>
            </w:pPr>
            <w:r w:rsidRPr="00A07012">
              <w:rPr>
                <w:sz w:val="22"/>
                <w:szCs w:val="22"/>
              </w:rPr>
              <w:t xml:space="preserve">За случај </w:t>
            </w:r>
            <w:r w:rsidR="00C56E87" w:rsidRPr="00A07012">
              <w:rPr>
                <w:sz w:val="22"/>
                <w:szCs w:val="22"/>
              </w:rPr>
              <w:t xml:space="preserve">ширине </w:t>
            </w:r>
            <w:r w:rsidR="00E25C93" w:rsidRPr="00A07012">
              <w:rPr>
                <w:sz w:val="22"/>
                <w:szCs w:val="22"/>
              </w:rPr>
              <w:t>радио-фреквенци</w:t>
            </w:r>
            <w:r w:rsidR="0046379F" w:rsidRPr="00A07012">
              <w:rPr>
                <w:sz w:val="22"/>
                <w:szCs w:val="22"/>
              </w:rPr>
              <w:t>јс</w:t>
            </w:r>
            <w:r w:rsidR="00E25C93" w:rsidRPr="00A07012">
              <w:rPr>
                <w:sz w:val="22"/>
                <w:szCs w:val="22"/>
              </w:rPr>
              <w:t xml:space="preserve">ког </w:t>
            </w:r>
            <w:r w:rsidR="00C56E87" w:rsidRPr="00A07012">
              <w:rPr>
                <w:sz w:val="22"/>
                <w:szCs w:val="22"/>
              </w:rPr>
              <w:t xml:space="preserve">опсега </w:t>
            </w:r>
            <w:r w:rsidRPr="00A07012">
              <w:rPr>
                <w:sz w:val="22"/>
                <w:szCs w:val="22"/>
              </w:rPr>
              <w:t xml:space="preserve">MFCN </w:t>
            </w:r>
            <w:r w:rsidR="00C56E87" w:rsidRPr="00A07012">
              <w:rPr>
                <w:sz w:val="22"/>
                <w:szCs w:val="22"/>
              </w:rPr>
              <w:t>система</w:t>
            </w:r>
            <w:r w:rsidR="00F42CAA" w:rsidRPr="00A07012">
              <w:rPr>
                <w:sz w:val="22"/>
                <w:szCs w:val="22"/>
              </w:rPr>
              <w:t xml:space="preserve"> веће од 10 MHz и нежељене емисије веће од </w:t>
            </w:r>
            <w:r w:rsidR="00F42CAA" w:rsidRPr="00A07012">
              <w:rPr>
                <w:sz w:val="22"/>
                <w:szCs w:val="22"/>
                <w:lang w:val="en-GB"/>
              </w:rPr>
              <w:t>-42 dBm</w:t>
            </w:r>
            <w:r w:rsidR="00F42CAA" w:rsidRPr="00A07012">
              <w:rPr>
                <w:sz w:val="22"/>
                <w:szCs w:val="22"/>
              </w:rPr>
              <w:t xml:space="preserve">/8 </w:t>
            </w:r>
            <w:r w:rsidR="00F42CAA" w:rsidRPr="00A07012">
              <w:rPr>
                <w:sz w:val="22"/>
                <w:szCs w:val="22"/>
                <w:lang w:val="en-GB"/>
              </w:rPr>
              <w:t>MHz</w:t>
            </w:r>
            <w:r w:rsidR="00F42CAA" w:rsidRPr="00A07012">
              <w:rPr>
                <w:sz w:val="22"/>
                <w:szCs w:val="22"/>
              </w:rPr>
              <w:t xml:space="preserve"> у </w:t>
            </w:r>
            <w:r w:rsidR="003C0002">
              <w:rPr>
                <w:sz w:val="22"/>
                <w:szCs w:val="22"/>
              </w:rPr>
              <w:t xml:space="preserve">радио-фреквенцијском </w:t>
            </w:r>
            <w:r w:rsidR="00F42CAA" w:rsidRPr="00A07012">
              <w:rPr>
                <w:sz w:val="22"/>
                <w:szCs w:val="22"/>
              </w:rPr>
              <w:t xml:space="preserve">опсегу испод 694 </w:t>
            </w:r>
            <w:r w:rsidR="00F42CAA" w:rsidRPr="00A07012">
              <w:rPr>
                <w:sz w:val="22"/>
                <w:szCs w:val="22"/>
                <w:lang w:val="en-GB"/>
              </w:rPr>
              <w:t>MHz</w:t>
            </w:r>
            <w:r w:rsidR="00F42CAA" w:rsidRPr="00A07012">
              <w:rPr>
                <w:sz w:val="22"/>
                <w:szCs w:val="22"/>
              </w:rPr>
              <w:t>, може</w:t>
            </w:r>
            <w:r w:rsidR="00DA6543">
              <w:rPr>
                <w:sz w:val="22"/>
                <w:szCs w:val="22"/>
              </w:rPr>
              <w:t xml:space="preserve"> се</w:t>
            </w:r>
            <w:r w:rsidR="00F42CAA" w:rsidRPr="00A07012">
              <w:rPr>
                <w:sz w:val="22"/>
                <w:szCs w:val="22"/>
              </w:rPr>
              <w:t xml:space="preserve"> имплементирати </w:t>
            </w:r>
            <w:r w:rsidR="00C56E87" w:rsidRPr="00A07012">
              <w:rPr>
                <w:sz w:val="22"/>
                <w:szCs w:val="22"/>
              </w:rPr>
              <w:t>већ</w:t>
            </w:r>
            <w:r w:rsidR="00DA6543">
              <w:rPr>
                <w:sz w:val="22"/>
                <w:szCs w:val="22"/>
              </w:rPr>
              <w:t>а</w:t>
            </w:r>
            <w:r w:rsidR="00C56E87" w:rsidRPr="00A07012">
              <w:rPr>
                <w:sz w:val="22"/>
                <w:szCs w:val="22"/>
              </w:rPr>
              <w:t xml:space="preserve"> ширин</w:t>
            </w:r>
            <w:r w:rsidR="00DA6543">
              <w:rPr>
                <w:sz w:val="22"/>
                <w:szCs w:val="22"/>
              </w:rPr>
              <w:t>а</w:t>
            </w:r>
            <w:r w:rsidR="00C56E87" w:rsidRPr="00A07012">
              <w:rPr>
                <w:sz w:val="22"/>
                <w:szCs w:val="22"/>
              </w:rPr>
              <w:t xml:space="preserve"> </w:t>
            </w:r>
            <w:r w:rsidR="00C56E87" w:rsidRPr="00A07012">
              <w:rPr>
                <w:sz w:val="22"/>
                <w:szCs w:val="22"/>
                <w:lang w:val="en-GB"/>
              </w:rPr>
              <w:t>MFCN</w:t>
            </w:r>
            <w:r w:rsidR="00C56E87" w:rsidRPr="00A07012">
              <w:rPr>
                <w:sz w:val="22"/>
                <w:szCs w:val="22"/>
              </w:rPr>
              <w:t xml:space="preserve"> </w:t>
            </w:r>
            <w:r w:rsidR="00E25C93" w:rsidRPr="00A07012">
              <w:rPr>
                <w:sz w:val="22"/>
                <w:szCs w:val="22"/>
              </w:rPr>
              <w:t xml:space="preserve">радио-фреквенцијског </w:t>
            </w:r>
            <w:r w:rsidR="00C56E87" w:rsidRPr="00A07012">
              <w:rPr>
                <w:sz w:val="22"/>
                <w:szCs w:val="22"/>
              </w:rPr>
              <w:t>опсега</w:t>
            </w:r>
            <w:r w:rsidR="003C0002">
              <w:rPr>
                <w:sz w:val="22"/>
                <w:szCs w:val="22"/>
              </w:rPr>
              <w:t>,</w:t>
            </w:r>
            <w:r w:rsidR="00C56E87" w:rsidRPr="00A07012">
              <w:rPr>
                <w:sz w:val="22"/>
                <w:szCs w:val="22"/>
              </w:rPr>
              <w:t xml:space="preserve"> који почиње на </w:t>
            </w:r>
            <w:r w:rsidR="003B717F">
              <w:rPr>
                <w:sz w:val="22"/>
                <w:szCs w:val="22"/>
              </w:rPr>
              <w:t>радио-</w:t>
            </w:r>
            <w:r w:rsidR="00C56E87" w:rsidRPr="00A07012">
              <w:rPr>
                <w:sz w:val="22"/>
                <w:szCs w:val="22"/>
              </w:rPr>
              <w:t>фреквенцији изнад</w:t>
            </w:r>
            <w:r w:rsidR="00EF3B98" w:rsidRPr="00A07012">
              <w:rPr>
                <w:sz w:val="22"/>
                <w:szCs w:val="22"/>
              </w:rPr>
              <w:t xml:space="preserve"> </w:t>
            </w:r>
            <w:r w:rsidR="00C56E87" w:rsidRPr="00A07012">
              <w:rPr>
                <w:sz w:val="22"/>
                <w:szCs w:val="22"/>
              </w:rPr>
              <w:t xml:space="preserve">703 </w:t>
            </w:r>
            <w:r w:rsidR="00C56E87" w:rsidRPr="00A07012">
              <w:rPr>
                <w:sz w:val="22"/>
                <w:szCs w:val="22"/>
                <w:lang w:val="en-GB"/>
              </w:rPr>
              <w:t>MHz</w:t>
            </w:r>
            <w:r w:rsidR="00C56E87" w:rsidRPr="00A07012">
              <w:rPr>
                <w:sz w:val="22"/>
                <w:szCs w:val="22"/>
              </w:rPr>
              <w:t xml:space="preserve">, на начин да је захтевано ограничење снаге ван </w:t>
            </w:r>
            <w:r w:rsidR="00E25C93" w:rsidRPr="00A07012">
              <w:rPr>
                <w:sz w:val="22"/>
                <w:szCs w:val="22"/>
              </w:rPr>
              <w:t xml:space="preserve">радио-фреквенцијског </w:t>
            </w:r>
            <w:r w:rsidR="00C56E87" w:rsidRPr="00A07012">
              <w:rPr>
                <w:sz w:val="22"/>
                <w:szCs w:val="22"/>
              </w:rPr>
              <w:t>опсега у границама</w:t>
            </w:r>
            <w:r w:rsidR="00DA6543">
              <w:rPr>
                <w:sz w:val="22"/>
                <w:szCs w:val="22"/>
              </w:rPr>
              <w:t>. У циљу остварења ограничења снаге ван радио-фреквенцијског опсега</w:t>
            </w:r>
            <w:r w:rsidR="00AE5834">
              <w:rPr>
                <w:sz w:val="22"/>
                <w:szCs w:val="22"/>
              </w:rPr>
              <w:t xml:space="preserve"> </w:t>
            </w:r>
            <w:r w:rsidR="00DA6543">
              <w:rPr>
                <w:sz w:val="22"/>
                <w:szCs w:val="22"/>
              </w:rPr>
              <w:t>могу се п</w:t>
            </w:r>
            <w:r w:rsidR="00C56E87" w:rsidRPr="00A07012">
              <w:rPr>
                <w:sz w:val="22"/>
                <w:szCs w:val="22"/>
              </w:rPr>
              <w:t>римени</w:t>
            </w:r>
            <w:r w:rsidR="00DA6543">
              <w:rPr>
                <w:sz w:val="22"/>
                <w:szCs w:val="22"/>
              </w:rPr>
              <w:t>ти</w:t>
            </w:r>
            <w:r w:rsidR="00C56E87" w:rsidRPr="00A07012">
              <w:rPr>
                <w:sz w:val="22"/>
                <w:szCs w:val="22"/>
              </w:rPr>
              <w:t xml:space="preserve"> </w:t>
            </w:r>
            <w:r w:rsidR="008144BD" w:rsidRPr="00A07012">
              <w:rPr>
                <w:sz w:val="22"/>
                <w:szCs w:val="22"/>
              </w:rPr>
              <w:t xml:space="preserve">одређене </w:t>
            </w:r>
            <w:r w:rsidR="00C56E87" w:rsidRPr="00A07012">
              <w:rPr>
                <w:sz w:val="22"/>
                <w:szCs w:val="22"/>
              </w:rPr>
              <w:t>технике: DTT филтрирање, смањење снаге унутар</w:t>
            </w:r>
            <w:r w:rsidR="00E25C93" w:rsidRPr="00A07012">
              <w:rPr>
                <w:sz w:val="22"/>
                <w:szCs w:val="22"/>
              </w:rPr>
              <w:t xml:space="preserve"> радио-фреквенци</w:t>
            </w:r>
            <w:r w:rsidR="0046379F" w:rsidRPr="00A07012">
              <w:rPr>
                <w:sz w:val="22"/>
                <w:szCs w:val="22"/>
              </w:rPr>
              <w:t>јс</w:t>
            </w:r>
            <w:r w:rsidR="00E25C93" w:rsidRPr="00A07012">
              <w:rPr>
                <w:sz w:val="22"/>
                <w:szCs w:val="22"/>
              </w:rPr>
              <w:t>ког</w:t>
            </w:r>
            <w:r w:rsidR="00C56E87" w:rsidRPr="00A07012">
              <w:rPr>
                <w:sz w:val="22"/>
                <w:szCs w:val="22"/>
              </w:rPr>
              <w:t xml:space="preserve"> блока за терминалну станицу, смањење ширине </w:t>
            </w:r>
            <w:r w:rsidR="00E25C93" w:rsidRPr="00A07012">
              <w:rPr>
                <w:sz w:val="22"/>
                <w:szCs w:val="22"/>
              </w:rPr>
              <w:t>радио-фреквенци</w:t>
            </w:r>
            <w:r w:rsidR="0046379F" w:rsidRPr="00A07012">
              <w:rPr>
                <w:sz w:val="22"/>
                <w:szCs w:val="22"/>
              </w:rPr>
              <w:t>јс</w:t>
            </w:r>
            <w:r w:rsidR="00E25C93" w:rsidRPr="00A07012">
              <w:rPr>
                <w:sz w:val="22"/>
                <w:szCs w:val="22"/>
              </w:rPr>
              <w:t xml:space="preserve">ког </w:t>
            </w:r>
            <w:r w:rsidR="00C56E87" w:rsidRPr="00A07012">
              <w:rPr>
                <w:sz w:val="22"/>
                <w:szCs w:val="22"/>
              </w:rPr>
              <w:t>опсега предаје терминалних станица и сл.</w:t>
            </w:r>
          </w:p>
        </w:tc>
      </w:tr>
    </w:tbl>
    <w:p w14:paraId="5C03589B" w14:textId="77777777" w:rsidR="00F22AF8" w:rsidRDefault="00F22AF8" w:rsidP="00D2527B">
      <w:pPr>
        <w:pStyle w:val="Heading2"/>
        <w:rPr>
          <w:lang w:val="sr-Cyrl-CS"/>
        </w:rPr>
      </w:pPr>
    </w:p>
    <w:p w14:paraId="076B18E4" w14:textId="77777777" w:rsidR="00581A79" w:rsidRPr="00362364" w:rsidRDefault="00136BB0" w:rsidP="00362364">
      <w:pPr>
        <w:pStyle w:val="Heading2"/>
        <w:jc w:val="center"/>
        <w:rPr>
          <w:b/>
          <w:lang w:val="sr-Cyrl-CS"/>
        </w:rPr>
      </w:pPr>
      <w:r w:rsidRPr="00362364">
        <w:rPr>
          <w:b/>
          <w:lang w:val="sr-Cyrl-CS"/>
        </w:rPr>
        <w:t>4.</w:t>
      </w:r>
      <w:r w:rsidRPr="00362364">
        <w:rPr>
          <w:b/>
          <w:sz w:val="14"/>
          <w:szCs w:val="14"/>
        </w:rPr>
        <w:t>     </w:t>
      </w:r>
      <w:r w:rsidRPr="00362364">
        <w:rPr>
          <w:b/>
          <w:sz w:val="14"/>
          <w:szCs w:val="14"/>
          <w:lang w:val="sr-Cyrl-CS"/>
        </w:rPr>
        <w:t xml:space="preserve"> </w:t>
      </w:r>
      <w:r w:rsidRPr="00362364">
        <w:rPr>
          <w:b/>
          <w:lang w:val="sr-Cyrl-CS"/>
        </w:rPr>
        <w:t>Регулаторни услови</w:t>
      </w:r>
      <w:r w:rsidRPr="00362364">
        <w:rPr>
          <w:b/>
        </w:rPr>
        <w:t> </w:t>
      </w:r>
      <w:r w:rsidRPr="00362364">
        <w:rPr>
          <w:b/>
          <w:lang w:val="sr-Cyrl-CS"/>
        </w:rPr>
        <w:t xml:space="preserve"> за расподелу радио-фреквенција</w:t>
      </w:r>
    </w:p>
    <w:p w14:paraId="32A6897E" w14:textId="77777777" w:rsidR="005209E8" w:rsidRPr="00822C12" w:rsidRDefault="005209E8" w:rsidP="00D2527B">
      <w:pPr>
        <w:pStyle w:val="Heading2"/>
        <w:rPr>
          <w:lang w:val="sr-Latn-CS"/>
        </w:rPr>
      </w:pPr>
      <w:r w:rsidRPr="00822C12">
        <w:rPr>
          <w:lang w:val="sr-Cyrl-CS"/>
        </w:rPr>
        <w:t>Оператори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којима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су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додељени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суседни</w:t>
      </w:r>
      <w:r w:rsidRPr="00822C12">
        <w:rPr>
          <w:lang w:val="sr-Latn-CS"/>
        </w:rPr>
        <w:t xml:space="preserve"> </w:t>
      </w:r>
      <w:r>
        <w:t>радио-</w:t>
      </w:r>
      <w:r w:rsidRPr="00822C12">
        <w:rPr>
          <w:lang w:val="sr-Cyrl-CS"/>
        </w:rPr>
        <w:t>фреквенцијски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блокови,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могу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међусобно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да се усагласе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о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другим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условима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који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омогућавају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ефикасније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коришћење</w:t>
      </w:r>
      <w:r w:rsidRPr="00822C12">
        <w:rPr>
          <w:lang w:val="sr-Latn-CS"/>
        </w:rPr>
        <w:t xml:space="preserve"> </w:t>
      </w:r>
      <w:r>
        <w:t>радио-</w:t>
      </w:r>
      <w:r w:rsidRPr="00822C12">
        <w:rPr>
          <w:lang w:val="sr-Cyrl-CS"/>
        </w:rPr>
        <w:t>фреквенцијског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спектра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од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услова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 xml:space="preserve">прописаних </w:t>
      </w:r>
      <w:r w:rsidR="00E25C93">
        <w:rPr>
          <w:lang w:val="sr-Cyrl-CS"/>
        </w:rPr>
        <w:t xml:space="preserve">у </w:t>
      </w:r>
      <w:r w:rsidRPr="00822C12">
        <w:rPr>
          <w:lang w:val="sr-Cyrl-CS"/>
        </w:rPr>
        <w:t>тачк</w:t>
      </w:r>
      <w:r w:rsidR="00E25C93">
        <w:t>и</w:t>
      </w:r>
      <w:r w:rsidRPr="00822C12">
        <w:rPr>
          <w:lang w:val="sr-Cyrl-CS"/>
        </w:rPr>
        <w:t xml:space="preserve"> </w:t>
      </w:r>
      <w:r>
        <w:rPr>
          <w:lang w:val="sr-Cyrl-CS"/>
        </w:rPr>
        <w:t>3</w:t>
      </w:r>
      <w:r w:rsidR="00E25C93">
        <w:rPr>
          <w:lang w:val="sr-Cyrl-CS"/>
        </w:rPr>
        <w:t>. овог</w:t>
      </w:r>
      <w:r w:rsidRPr="00822C12">
        <w:rPr>
          <w:lang w:val="sr-Latn-CS"/>
        </w:rPr>
        <w:t xml:space="preserve"> </w:t>
      </w:r>
      <w:r w:rsidR="00E25C93">
        <w:t>п</w:t>
      </w:r>
      <w:r w:rsidRPr="00822C12">
        <w:t>лан</w:t>
      </w:r>
      <w:r w:rsidRPr="00822C12">
        <w:rPr>
          <w:lang w:val="sr-Cyrl-CS"/>
        </w:rPr>
        <w:t>а</w:t>
      </w:r>
      <w:r w:rsidRPr="00822C12">
        <w:rPr>
          <w:lang w:val="sr-Latn-CS"/>
        </w:rPr>
        <w:t xml:space="preserve"> </w:t>
      </w:r>
      <w:r w:rsidRPr="00822C12">
        <w:t>расподеле</w:t>
      </w:r>
      <w:r w:rsidRPr="00822C12">
        <w:rPr>
          <w:lang w:val="sr-Latn-CS"/>
        </w:rPr>
        <w:t xml:space="preserve">, </w:t>
      </w:r>
      <w:r w:rsidRPr="00822C12">
        <w:t>уз</w:t>
      </w:r>
      <w:r w:rsidRPr="00822C12">
        <w:rPr>
          <w:lang w:val="sr-Latn-CS"/>
        </w:rPr>
        <w:t xml:space="preserve"> </w:t>
      </w:r>
      <w:r w:rsidRPr="00822C12">
        <w:t>сагласност</w:t>
      </w:r>
      <w:r w:rsidRPr="00822C12">
        <w:rPr>
          <w:lang w:val="sr-Latn-CS"/>
        </w:rPr>
        <w:t xml:space="preserve"> </w:t>
      </w:r>
      <w:r>
        <w:t>регулаторн</w:t>
      </w:r>
      <w:r w:rsidR="00E25C93">
        <w:t>е</w:t>
      </w:r>
      <w:r>
        <w:t xml:space="preserve"> </w:t>
      </w:r>
      <w:r w:rsidR="00E25C93">
        <w:rPr>
          <w:lang w:val="sr-Cyrl-CS"/>
        </w:rPr>
        <w:t>организације</w:t>
      </w:r>
      <w:r>
        <w:rPr>
          <w:lang w:val="sr-Cyrl-CS"/>
        </w:rPr>
        <w:t xml:space="preserve"> </w:t>
      </w:r>
      <w:r w:rsidRPr="00822C12">
        <w:t>надлежн</w:t>
      </w:r>
      <w:r w:rsidR="00E25C93">
        <w:rPr>
          <w:lang w:val="sr-Cyrl-CS"/>
        </w:rPr>
        <w:t>е</w:t>
      </w:r>
      <w:r w:rsidRPr="00822C12">
        <w:rPr>
          <w:lang w:val="sr-Latn-CS"/>
        </w:rPr>
        <w:t xml:space="preserve"> </w:t>
      </w:r>
      <w:r w:rsidRPr="00822C12">
        <w:t>за</w:t>
      </w:r>
      <w:r w:rsidRPr="00822C12">
        <w:rPr>
          <w:lang w:val="sr-Latn-CS"/>
        </w:rPr>
        <w:t xml:space="preserve"> </w:t>
      </w:r>
      <w:r w:rsidR="00E25C93">
        <w:t>послове</w:t>
      </w:r>
      <w:r>
        <w:t xml:space="preserve"> </w:t>
      </w:r>
      <w:r w:rsidRPr="00822C12">
        <w:t>електронск</w:t>
      </w:r>
      <w:r>
        <w:t>их</w:t>
      </w:r>
      <w:r w:rsidRPr="00822C12">
        <w:rPr>
          <w:lang w:val="sr-Latn-CS"/>
        </w:rPr>
        <w:t xml:space="preserve"> </w:t>
      </w:r>
      <w:r w:rsidRPr="00822C12">
        <w:t>комуникациј</w:t>
      </w:r>
      <w:r>
        <w:t>а</w:t>
      </w:r>
      <w:r w:rsidRPr="00822C12">
        <w:rPr>
          <w:lang w:val="sr-Latn-CS"/>
        </w:rPr>
        <w:t>.</w:t>
      </w:r>
    </w:p>
    <w:p w14:paraId="39F57620" w14:textId="77777777" w:rsidR="00481FAB" w:rsidRDefault="005209E8" w:rsidP="00D2527B">
      <w:pPr>
        <w:pStyle w:val="Heading2"/>
        <w:rPr>
          <w:b/>
          <w:bCs/>
        </w:rPr>
      </w:pPr>
      <w:r w:rsidRPr="00822C12">
        <w:rPr>
          <w:lang w:val="sr-Cyrl-CS"/>
        </w:rPr>
        <w:t xml:space="preserve">Оператор је </w:t>
      </w:r>
      <w:r w:rsidR="00E25C93">
        <w:rPr>
          <w:lang w:val="sr-Cyrl-CS"/>
        </w:rPr>
        <w:t>у обавези</w:t>
      </w:r>
      <w:r w:rsidRPr="00822C12">
        <w:rPr>
          <w:lang w:val="sr-Cyrl-CS"/>
        </w:rPr>
        <w:t xml:space="preserve"> да прилагоди параметре своје базне станице тако да буду испуњени технички услови изван граница територије Републике Србије, утврђени билатералним или мултилатералним међу</w:t>
      </w:r>
      <w:r>
        <w:rPr>
          <w:lang w:val="sr-Cyrl-CS"/>
        </w:rPr>
        <w:t>народним техничким</w:t>
      </w:r>
      <w:r w:rsidRPr="00822C12">
        <w:rPr>
          <w:lang w:val="sr-Cyrl-CS"/>
        </w:rPr>
        <w:t xml:space="preserve"> споразумима. </w:t>
      </w:r>
      <w:r w:rsidRPr="00D761D7">
        <w:rPr>
          <w:lang w:val="sr-Cyrl-CS"/>
        </w:rPr>
        <w:t>У недостатку билатералних или мултилатералних међу</w:t>
      </w:r>
      <w:r>
        <w:rPr>
          <w:lang w:val="sr-Cyrl-CS"/>
        </w:rPr>
        <w:t xml:space="preserve">народних техничких </w:t>
      </w:r>
      <w:r w:rsidRPr="00D761D7">
        <w:rPr>
          <w:lang w:val="sr-Cyrl-CS"/>
        </w:rPr>
        <w:t xml:space="preserve">споразума </w:t>
      </w:r>
      <w:r w:rsidR="00BA329C">
        <w:rPr>
          <w:lang w:val="sr-Cyrl-CS"/>
        </w:rPr>
        <w:t>по</w:t>
      </w:r>
      <w:r w:rsidRPr="00D761D7">
        <w:rPr>
          <w:lang w:val="sr-Cyrl-CS"/>
        </w:rPr>
        <w:t>треб</w:t>
      </w:r>
      <w:r w:rsidR="00BA329C">
        <w:rPr>
          <w:lang w:val="sr-Cyrl-CS"/>
        </w:rPr>
        <w:t>но је</w:t>
      </w:r>
      <w:r w:rsidRPr="00D761D7">
        <w:rPr>
          <w:lang w:val="sr-Cyrl-CS"/>
        </w:rPr>
        <w:t xml:space="preserve"> поштовати огр</w:t>
      </w:r>
      <w:r>
        <w:rPr>
          <w:lang w:val="sr-Cyrl-CS"/>
        </w:rPr>
        <w:t>аничења из важеће верзије препоруке ECC/REC/(1</w:t>
      </w:r>
      <w:r>
        <w:t>5</w:t>
      </w:r>
      <w:r w:rsidRPr="00D761D7">
        <w:rPr>
          <w:lang w:val="sr-Cyrl-CS"/>
        </w:rPr>
        <w:t>)0</w:t>
      </w:r>
      <w:r>
        <w:t xml:space="preserve">1. </w:t>
      </w:r>
    </w:p>
    <w:p w14:paraId="18C16AD1" w14:textId="77777777" w:rsidR="005209E8" w:rsidRPr="00822C12" w:rsidRDefault="005209E8" w:rsidP="00D2527B">
      <w:pPr>
        <w:pStyle w:val="Heading2"/>
        <w:rPr>
          <w:b/>
          <w:lang w:val="sr-Cyrl-CS"/>
        </w:rPr>
      </w:pPr>
      <w:r>
        <w:t xml:space="preserve">У </w:t>
      </w:r>
      <w:r w:rsidRPr="00822C12">
        <w:rPr>
          <w:lang w:val="sr-Cyrl-CS"/>
        </w:rPr>
        <w:t xml:space="preserve">појединим случајевима </w:t>
      </w:r>
      <w:r w:rsidR="00E25C93">
        <w:rPr>
          <w:lang w:val="sr-Cyrl-CS"/>
        </w:rPr>
        <w:t xml:space="preserve">штетних </w:t>
      </w:r>
      <w:r w:rsidRPr="00822C12">
        <w:rPr>
          <w:lang w:val="sr-Cyrl-CS"/>
        </w:rPr>
        <w:t>сметњи, регулаторн</w:t>
      </w:r>
      <w:r w:rsidR="00E25C93">
        <w:rPr>
          <w:lang w:val="sr-Cyrl-CS"/>
        </w:rPr>
        <w:t>а</w:t>
      </w:r>
      <w:r w:rsidRPr="00822C12">
        <w:rPr>
          <w:lang w:val="sr-Cyrl-CS"/>
        </w:rPr>
        <w:t xml:space="preserve"> </w:t>
      </w:r>
      <w:r w:rsidR="00E25C93">
        <w:rPr>
          <w:lang w:val="sr-Cyrl-CS"/>
        </w:rPr>
        <w:t>организација</w:t>
      </w:r>
      <w:r>
        <w:rPr>
          <w:lang w:val="sr-Cyrl-CS"/>
        </w:rPr>
        <w:t xml:space="preserve"> </w:t>
      </w:r>
      <w:r w:rsidRPr="00822C12">
        <w:rPr>
          <w:lang w:val="sr-Cyrl-CS"/>
        </w:rPr>
        <w:t>надлежн</w:t>
      </w:r>
      <w:r w:rsidR="00E25C93">
        <w:rPr>
          <w:lang w:val="sr-Cyrl-CS"/>
        </w:rPr>
        <w:t>а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за</w:t>
      </w:r>
      <w:r w:rsidRPr="00822C12">
        <w:rPr>
          <w:lang w:val="sr-Latn-CS"/>
        </w:rPr>
        <w:t xml:space="preserve"> </w:t>
      </w:r>
      <w:r w:rsidR="00E25C93">
        <w:t>послове</w:t>
      </w:r>
      <w:r>
        <w:t xml:space="preserve"> </w:t>
      </w:r>
      <w:r w:rsidRPr="00822C12">
        <w:rPr>
          <w:lang w:val="sr-Cyrl-CS"/>
        </w:rPr>
        <w:t>електронск</w:t>
      </w:r>
      <w:r>
        <w:rPr>
          <w:lang w:val="sr-Cyrl-CS"/>
        </w:rPr>
        <w:t>их</w:t>
      </w:r>
      <w:r w:rsidRPr="00822C12">
        <w:rPr>
          <w:lang w:val="sr-Latn-CS"/>
        </w:rPr>
        <w:t xml:space="preserve"> </w:t>
      </w:r>
      <w:r w:rsidRPr="00822C12">
        <w:rPr>
          <w:lang w:val="sr-Cyrl-CS"/>
        </w:rPr>
        <w:t>комуникациј</w:t>
      </w:r>
      <w:r>
        <w:rPr>
          <w:lang w:val="sr-Cyrl-CS"/>
        </w:rPr>
        <w:t>а</w:t>
      </w:r>
      <w:r w:rsidRPr="00822C12">
        <w:rPr>
          <w:lang w:val="sr-Cyrl-CS"/>
        </w:rPr>
        <w:t xml:space="preserve">, </w:t>
      </w:r>
      <w:r w:rsidR="00E25C93">
        <w:rPr>
          <w:lang w:val="sr-Cyrl-CS"/>
        </w:rPr>
        <w:t>утврдиће</w:t>
      </w:r>
      <w:r w:rsidRPr="00822C12">
        <w:rPr>
          <w:lang w:val="sr-Cyrl-CS"/>
        </w:rPr>
        <w:t xml:space="preserve"> додатна ограничења </w:t>
      </w:r>
      <w:r>
        <w:rPr>
          <w:lang w:val="sr-Cyrl-CS"/>
        </w:rPr>
        <w:t>коришћења</w:t>
      </w:r>
      <w:r w:rsidRPr="00822C12">
        <w:rPr>
          <w:lang w:val="sr-Cyrl-CS"/>
        </w:rPr>
        <w:t xml:space="preserve"> радио-фреквенцијск</w:t>
      </w:r>
      <w:r>
        <w:rPr>
          <w:lang w:val="sr-Cyrl-CS"/>
        </w:rPr>
        <w:t>ог</w:t>
      </w:r>
      <w:r w:rsidRPr="00822C12">
        <w:rPr>
          <w:lang w:val="sr-Cyrl-CS"/>
        </w:rPr>
        <w:t xml:space="preserve"> опсега</w:t>
      </w:r>
      <w:r w:rsidRPr="00822C12">
        <w:rPr>
          <w:caps/>
          <w:lang w:val="sr-Cyrl-CS"/>
        </w:rPr>
        <w:t xml:space="preserve"> </w:t>
      </w:r>
      <w:r>
        <w:rPr>
          <w:caps/>
        </w:rPr>
        <w:t>694-790</w:t>
      </w:r>
      <w:r w:rsidRPr="00822C12">
        <w:rPr>
          <w:caps/>
          <w:lang w:val="sr-Cyrl-CS"/>
        </w:rPr>
        <w:t xml:space="preserve"> </w:t>
      </w:r>
      <w:r w:rsidRPr="00822C12">
        <w:rPr>
          <w:lang w:val="sr-Latn-CS"/>
        </w:rPr>
        <w:t>MHz</w:t>
      </w:r>
      <w:r w:rsidRPr="00822C12">
        <w:rPr>
          <w:lang w:val="sr-Cyrl-CS"/>
        </w:rPr>
        <w:t>, ради заштите постојећих служби које раде у суседним радио-фреквенцијским опсезима.</w:t>
      </w:r>
    </w:p>
    <w:p w14:paraId="4F2B8873" w14:textId="77777777" w:rsidR="005209E8" w:rsidRDefault="005209E8" w:rsidP="00D2527B">
      <w:pPr>
        <w:pStyle w:val="Heading2"/>
        <w:rPr>
          <w:b/>
          <w:bCs/>
        </w:rPr>
      </w:pPr>
      <w:r w:rsidRPr="00822C12">
        <w:rPr>
          <w:lang w:val="sr-Cyrl-CS"/>
        </w:rPr>
        <w:t xml:space="preserve">Право на коришћење радио-фреквенција из </w:t>
      </w:r>
      <w:r w:rsidR="005618A5">
        <w:rPr>
          <w:lang w:val="sr-Cyrl-CS"/>
        </w:rPr>
        <w:t xml:space="preserve">делова </w:t>
      </w:r>
      <w:r w:rsidRPr="00822C12">
        <w:rPr>
          <w:lang w:val="sr-Cyrl-CS"/>
        </w:rPr>
        <w:t xml:space="preserve">радио-фреквенцијских опсега </w:t>
      </w:r>
      <w:r>
        <w:rPr>
          <w:caps/>
        </w:rPr>
        <w:t>694-790</w:t>
      </w:r>
      <w:r w:rsidRPr="00822C12">
        <w:rPr>
          <w:caps/>
          <w:lang w:val="sr-Cyrl-CS"/>
        </w:rPr>
        <w:t xml:space="preserve"> </w:t>
      </w:r>
      <w:r w:rsidRPr="00822C12">
        <w:rPr>
          <w:lang w:val="sr-Latn-CS"/>
        </w:rPr>
        <w:t>MHz</w:t>
      </w:r>
      <w:r w:rsidR="005618A5">
        <w:t xml:space="preserve"> који се користе за </w:t>
      </w:r>
      <w:r w:rsidR="005618A5" w:rsidRPr="00CA4939">
        <w:t>мобилне/фиксне комуникационе мреже (MFCN)</w:t>
      </w:r>
      <w:r w:rsidRPr="00822C12">
        <w:rPr>
          <w:lang w:val="sr-Cyrl-CS"/>
        </w:rPr>
        <w:t>, стиче се на основу појединачне дозволе</w:t>
      </w:r>
      <w:r w:rsidR="00E25C93">
        <w:rPr>
          <w:lang w:val="sr-Cyrl-CS"/>
        </w:rPr>
        <w:t xml:space="preserve"> за коришћење радио-фреквенција</w:t>
      </w:r>
      <w:r w:rsidRPr="00822C12">
        <w:rPr>
          <w:lang w:val="sr-Cyrl-CS"/>
        </w:rPr>
        <w:t xml:space="preserve"> која се издаје по спроведеном поступку јавног надметања,</w:t>
      </w:r>
      <w:r>
        <w:rPr>
          <w:lang w:val="sr-Cyrl-CS"/>
        </w:rPr>
        <w:t xml:space="preserve"> </w:t>
      </w:r>
      <w:r w:rsidRPr="00822C12">
        <w:rPr>
          <w:lang w:val="sr-Cyrl-CS"/>
        </w:rPr>
        <w:t>у складу са чланом 89. Закона.</w:t>
      </w:r>
      <w:r w:rsidRPr="00822C12">
        <w:t> </w:t>
      </w:r>
    </w:p>
    <w:p w14:paraId="541E8A47" w14:textId="77777777" w:rsidR="00D80CA6" w:rsidRDefault="00D80CA6" w:rsidP="00D2527B">
      <w:pPr>
        <w:pStyle w:val="Heading2"/>
        <w:rPr>
          <w:b/>
        </w:rPr>
      </w:pPr>
    </w:p>
    <w:p w14:paraId="32ABB237" w14:textId="77777777" w:rsidR="00D80CA6" w:rsidRDefault="00D80CA6" w:rsidP="00D2527B">
      <w:pPr>
        <w:pStyle w:val="Heading2"/>
        <w:rPr>
          <w:b/>
        </w:rPr>
      </w:pPr>
    </w:p>
    <w:p w14:paraId="7FE0BB72" w14:textId="77777777" w:rsidR="003327DF" w:rsidRPr="00D80CA6" w:rsidRDefault="00372CC9" w:rsidP="00D80CA6">
      <w:pPr>
        <w:pStyle w:val="Heading2"/>
        <w:jc w:val="center"/>
        <w:rPr>
          <w:b/>
          <w:sz w:val="28"/>
          <w:szCs w:val="28"/>
        </w:rPr>
      </w:pPr>
      <w:r w:rsidRPr="00D80CA6">
        <w:rPr>
          <w:b/>
          <w:sz w:val="28"/>
          <w:szCs w:val="28"/>
        </w:rPr>
        <w:lastRenderedPageBreak/>
        <w:t>О б р а з л о ж е њ</w:t>
      </w:r>
      <w:r w:rsidR="003327DF" w:rsidRPr="00D80CA6">
        <w:rPr>
          <w:b/>
          <w:sz w:val="28"/>
          <w:szCs w:val="28"/>
        </w:rPr>
        <w:t xml:space="preserve"> е</w:t>
      </w:r>
    </w:p>
    <w:p w14:paraId="6B8411F4" w14:textId="77777777" w:rsidR="00AA63D2" w:rsidRDefault="00AA63D2" w:rsidP="00372CC9">
      <w:pPr>
        <w:pStyle w:val="Heading1"/>
        <w:ind w:left="709"/>
        <w:rPr>
          <w:rFonts w:ascii="Times New Roman" w:hAnsi="Times New Roman"/>
          <w:b/>
          <w:color w:val="auto"/>
          <w:sz w:val="24"/>
          <w:szCs w:val="24"/>
        </w:rPr>
      </w:pPr>
    </w:p>
    <w:p w14:paraId="44B19C20" w14:textId="77777777" w:rsidR="00372CC9" w:rsidRPr="00A07012" w:rsidRDefault="00372CC9" w:rsidP="00372CC9">
      <w:pPr>
        <w:pStyle w:val="Heading1"/>
        <w:ind w:left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7012">
        <w:rPr>
          <w:rFonts w:ascii="Times New Roman" w:hAnsi="Times New Roman"/>
          <w:b/>
          <w:color w:val="auto"/>
          <w:sz w:val="24"/>
          <w:szCs w:val="24"/>
        </w:rPr>
        <w:t>I. Правни</w:t>
      </w:r>
      <w:r w:rsidRPr="00A07012">
        <w:rPr>
          <w:rFonts w:ascii="Times New Roman" w:hAnsi="Times New Roman"/>
          <w:b/>
          <w:color w:val="auto"/>
          <w:sz w:val="24"/>
          <w:szCs w:val="24"/>
          <w:lang w:val="sr-Cyrl-CS"/>
        </w:rPr>
        <w:t xml:space="preserve"> </w:t>
      </w:r>
      <w:r w:rsidRPr="00A07012">
        <w:rPr>
          <w:rFonts w:ascii="Times New Roman" w:hAnsi="Times New Roman"/>
          <w:b/>
          <w:color w:val="auto"/>
          <w:sz w:val="24"/>
          <w:szCs w:val="24"/>
        </w:rPr>
        <w:t>основ</w:t>
      </w:r>
    </w:p>
    <w:p w14:paraId="6CBF5369" w14:textId="77777777" w:rsidR="00372CC9" w:rsidRPr="00A07012" w:rsidRDefault="00372CC9" w:rsidP="00372CC9">
      <w:pPr>
        <w:rPr>
          <w:b/>
          <w:lang w:val="sr-Cyrl-CS"/>
        </w:rPr>
      </w:pPr>
    </w:p>
    <w:p w14:paraId="02EFD08B" w14:textId="77777777" w:rsidR="00DD4EBA" w:rsidRDefault="00372CC9" w:rsidP="00A07012">
      <w:pPr>
        <w:pStyle w:val="NoSpacing"/>
        <w:ind w:firstLine="360"/>
        <w:jc w:val="both"/>
        <w:rPr>
          <w:lang w:val="sr-Cyrl-CS"/>
        </w:rPr>
      </w:pPr>
      <w:r>
        <w:t xml:space="preserve">Правни основ за доношење Правилника </w:t>
      </w:r>
      <w:r>
        <w:rPr>
          <w:bCs/>
          <w:lang w:val="sr-Cyrl-CS"/>
        </w:rPr>
        <w:t>о</w:t>
      </w:r>
      <w:r>
        <w:rPr>
          <w:bCs/>
          <w:sz w:val="22"/>
          <w:szCs w:val="22"/>
          <w:lang w:val="sr-Cyrl-CS"/>
        </w:rPr>
        <w:t xml:space="preserve"> </w:t>
      </w:r>
      <w:r>
        <w:rPr>
          <w:bCs/>
          <w:lang w:val="sr-Cyrl-CS"/>
        </w:rPr>
        <w:t xml:space="preserve">утврђивању </w:t>
      </w:r>
      <w:r>
        <w:t xml:space="preserve">Плана расподеле радио-фреквенција у радио-фреквенцијском опсегу </w:t>
      </w:r>
      <w:r>
        <w:rPr>
          <w:lang w:val="en-GB"/>
        </w:rPr>
        <w:t>694-790 MHz</w:t>
      </w:r>
      <w:r w:rsidR="00BA329C">
        <w:t xml:space="preserve"> (у даљем тексту: Правилник о утврђивању Плана расподеле)</w:t>
      </w:r>
      <w:r>
        <w:t xml:space="preserve">, садржан је у одредби </w:t>
      </w:r>
      <w:r>
        <w:rPr>
          <w:color w:val="000000"/>
        </w:rPr>
        <w:t xml:space="preserve">члана </w:t>
      </w:r>
      <w:r>
        <w:rPr>
          <w:color w:val="000000"/>
          <w:lang w:val="sr-Cyrl-CS"/>
        </w:rPr>
        <w:t>84</w:t>
      </w:r>
      <w:r>
        <w:rPr>
          <w:color w:val="000000"/>
        </w:rPr>
        <w:t>.</w:t>
      </w:r>
      <w:r>
        <w:t xml:space="preserve"> став </w:t>
      </w:r>
      <w:r>
        <w:rPr>
          <w:lang w:val="sr-Cyrl-CS"/>
        </w:rPr>
        <w:t>3</w:t>
      </w:r>
      <w:r>
        <w:t xml:space="preserve">. Закона о електронским комуникацијама </w:t>
      </w:r>
      <w:r>
        <w:rPr>
          <w:rFonts w:eastAsia="Lucida Sans Unicode"/>
          <w:lang w:val="sr-Cyrl-CS"/>
        </w:rPr>
        <w:t>(</w:t>
      </w:r>
      <w:r>
        <w:rPr>
          <w:rFonts w:eastAsia="Lucida Sans Unicode"/>
          <w:noProof/>
          <w:lang w:val="sr-Cyrl-CS"/>
        </w:rPr>
        <w:t>„</w:t>
      </w:r>
      <w:r>
        <w:rPr>
          <w:rFonts w:eastAsia="Lucida Sans Unicode"/>
          <w:lang w:val="sr-Cyrl-CS"/>
        </w:rPr>
        <w:t>Службени гласник РС</w:t>
      </w:r>
      <w:r w:rsidR="00CB2FDC">
        <w:rPr>
          <w:rFonts w:eastAsia="Lucida Sans Unicode"/>
          <w:lang w:val="sr-Cyrl-CS"/>
        </w:rPr>
        <w:t>“</w:t>
      </w:r>
      <w:r>
        <w:rPr>
          <w:rFonts w:eastAsia="Lucida Sans Unicode"/>
          <w:lang w:val="sr-Cyrl-CS"/>
        </w:rPr>
        <w:t>, бр. 44/10, 60/13-УС</w:t>
      </w:r>
      <w:r>
        <w:rPr>
          <w:rFonts w:eastAsia="Lucida Sans Unicode"/>
        </w:rPr>
        <w:t>, 62/14</w:t>
      </w:r>
      <w:r>
        <w:t xml:space="preserve"> </w:t>
      </w:r>
      <w:r>
        <w:rPr>
          <w:rFonts w:eastAsia="Lucida Sans Unicode"/>
        </w:rPr>
        <w:t>и 95/18-др. закон</w:t>
      </w:r>
      <w:r>
        <w:t>, у даљем тексту: Закон)</w:t>
      </w:r>
      <w:r>
        <w:rPr>
          <w:lang w:val="sr-Cyrl-CS"/>
        </w:rPr>
        <w:t xml:space="preserve">. </w:t>
      </w:r>
    </w:p>
    <w:p w14:paraId="45201F77" w14:textId="77777777" w:rsidR="00DD4EBA" w:rsidRDefault="00DD4EBA" w:rsidP="00A07012">
      <w:pPr>
        <w:pStyle w:val="NoSpacing"/>
        <w:ind w:firstLine="360"/>
        <w:jc w:val="both"/>
        <w:rPr>
          <w:lang w:val="sr-Cyrl-CS"/>
        </w:rPr>
      </w:pPr>
    </w:p>
    <w:p w14:paraId="7C63F032" w14:textId="77777777" w:rsidR="00372CC9" w:rsidRDefault="00372CC9" w:rsidP="00A07012">
      <w:pPr>
        <w:pStyle w:val="NoSpacing"/>
        <w:ind w:firstLine="360"/>
        <w:jc w:val="both"/>
        <w:rPr>
          <w:b/>
          <w:lang w:val="sr-Cyrl-CS"/>
        </w:rPr>
      </w:pPr>
      <w:r>
        <w:rPr>
          <w:lang w:val="sr-Cyrl-CS"/>
        </w:rPr>
        <w:t>Одредбом члана 84. став. 3</w:t>
      </w:r>
      <w:r w:rsidR="00DD4EBA">
        <w:rPr>
          <w:lang w:val="sr-Cyrl-CS"/>
        </w:rPr>
        <w:t>. Закона</w:t>
      </w:r>
      <w:r>
        <w:rPr>
          <w:lang w:val="sr-Cyrl-CS"/>
        </w:rPr>
        <w:t xml:space="preserve">, а у вези са Уредбом о утврђивању Плана намене радио-фреквенцијских опсега </w:t>
      </w:r>
      <w:r>
        <w:t>(</w:t>
      </w:r>
      <w:r>
        <w:rPr>
          <w:lang w:val="sr-Cyrl-CS"/>
        </w:rPr>
        <w:t>„</w:t>
      </w:r>
      <w:r>
        <w:t>Службени гласник РС</w:t>
      </w:r>
      <w:r w:rsidR="008E2978">
        <w:t>“</w:t>
      </w:r>
      <w:r>
        <w:t>, бр</w:t>
      </w:r>
      <w:r>
        <w:rPr>
          <w:lang w:val="sr-Cyrl-CS"/>
        </w:rPr>
        <w:t xml:space="preserve">ој </w:t>
      </w:r>
      <w:r>
        <w:rPr>
          <w:lang w:val="en-GB"/>
        </w:rPr>
        <w:t>8</w:t>
      </w:r>
      <w:r>
        <w:rPr>
          <w:lang w:val="sr-Cyrl-CS"/>
        </w:rPr>
        <w:t>9/</w:t>
      </w:r>
      <w:r>
        <w:rPr>
          <w:lang w:val="en-GB"/>
        </w:rPr>
        <w:t>20</w:t>
      </w:r>
      <w:r w:rsidR="004A4180">
        <w:rPr>
          <w:lang w:val="en-GB"/>
        </w:rPr>
        <w:t xml:space="preserve">, </w:t>
      </w:r>
      <w:r w:rsidR="004A4180">
        <w:t>у даљем тексту: План намене</w:t>
      </w:r>
      <w:r>
        <w:t>)</w:t>
      </w:r>
      <w:r>
        <w:rPr>
          <w:lang w:val="sr-Cyrl-CS"/>
        </w:rPr>
        <w:t>, утврђено је да планове расподеле радио-фреквенција доноси министарство надлежно за послове телекомуникација и информационог друштва</w:t>
      </w:r>
      <w:r w:rsidR="00DD4EBA">
        <w:rPr>
          <w:lang w:val="sr-Cyrl-CS"/>
        </w:rPr>
        <w:t>, сада Министарство трговине, туризма и телекомуникација</w:t>
      </w:r>
      <w:r>
        <w:rPr>
          <w:lang w:val="sr-Cyrl-CS"/>
        </w:rPr>
        <w:t xml:space="preserve"> (у даљем тексту: </w:t>
      </w:r>
      <w:r w:rsidR="00DD4EBA">
        <w:rPr>
          <w:lang w:val="sr-Cyrl-CS"/>
        </w:rPr>
        <w:t>м</w:t>
      </w:r>
      <w:r>
        <w:rPr>
          <w:lang w:val="sr-Cyrl-CS"/>
        </w:rPr>
        <w:t xml:space="preserve">инистарство), </w:t>
      </w:r>
      <w:r>
        <w:t>уз учешће надлежног органа аутономне покрајине</w:t>
      </w:r>
      <w:r>
        <w:rPr>
          <w:lang w:val="sr-Cyrl-CS"/>
        </w:rPr>
        <w:t xml:space="preserve">, </w:t>
      </w:r>
      <w:r>
        <w:t>на предлог Регулаторне агенције за електронске комуникације и поштанске услуге</w:t>
      </w:r>
      <w:r>
        <w:rPr>
          <w:lang w:val="sr-Cyrl-CS"/>
        </w:rPr>
        <w:t xml:space="preserve"> (у даљем тексту: Агенција). </w:t>
      </w:r>
    </w:p>
    <w:p w14:paraId="2102A873" w14:textId="77777777" w:rsidR="00372CC9" w:rsidRDefault="00372CC9" w:rsidP="00372CC9">
      <w:pPr>
        <w:pStyle w:val="Footer"/>
      </w:pPr>
      <w:r>
        <w:t xml:space="preserve"> </w:t>
      </w:r>
    </w:p>
    <w:p w14:paraId="7E050809" w14:textId="77777777" w:rsidR="00372CC9" w:rsidRDefault="00372CC9" w:rsidP="00372CC9">
      <w:pPr>
        <w:pStyle w:val="BodyTextIndent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122D51" w14:textId="77777777" w:rsidR="00372CC9" w:rsidRDefault="00372CC9" w:rsidP="00372CC9">
      <w:pPr>
        <w:pStyle w:val="BodyTextIndent"/>
        <w:spacing w:after="0"/>
        <w:ind w:firstLine="349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Разлози за доношење </w:t>
      </w:r>
    </w:p>
    <w:p w14:paraId="2E615392" w14:textId="77777777" w:rsidR="00807E18" w:rsidRDefault="00372CC9" w:rsidP="00807E18">
      <w:pPr>
        <w:spacing w:before="100" w:beforeAutospacing="1" w:after="100" w:afterAutospacing="1"/>
        <w:ind w:firstLine="360"/>
        <w:jc w:val="both"/>
        <w:outlineLvl w:val="1"/>
      </w:pPr>
      <w:r>
        <w:rPr>
          <w:bCs/>
        </w:rPr>
        <w:t xml:space="preserve">На основу Плана намене, </w:t>
      </w:r>
      <w:r w:rsidR="005006FA">
        <w:rPr>
          <w:bCs/>
        </w:rPr>
        <w:t xml:space="preserve">делови </w:t>
      </w:r>
      <w:r w:rsidR="00DD4EBA">
        <w:rPr>
          <w:bCs/>
        </w:rPr>
        <w:t>радио-</w:t>
      </w:r>
      <w:r w:rsidR="005006FA">
        <w:rPr>
          <w:bCs/>
        </w:rPr>
        <w:t xml:space="preserve">фреквенцијског </w:t>
      </w:r>
      <w:r>
        <w:rPr>
          <w:bCs/>
        </w:rPr>
        <w:t>опсег</w:t>
      </w:r>
      <w:r w:rsidR="005006FA">
        <w:rPr>
          <w:bCs/>
        </w:rPr>
        <w:t>а</w:t>
      </w:r>
      <w:r>
        <w:rPr>
          <w:bCs/>
        </w:rPr>
        <w:t xml:space="preserve"> </w:t>
      </w:r>
      <w:r w:rsidR="004A4180">
        <w:t>694-790</w:t>
      </w:r>
      <w:r>
        <w:rPr>
          <w:lang w:val="en-GB"/>
        </w:rPr>
        <w:t xml:space="preserve"> MHz</w:t>
      </w:r>
      <w:r>
        <w:rPr>
          <w:bCs/>
        </w:rPr>
        <w:t xml:space="preserve"> </w:t>
      </w:r>
      <w:r w:rsidR="005006FA">
        <w:rPr>
          <w:bCs/>
        </w:rPr>
        <w:t xml:space="preserve">су  </w:t>
      </w:r>
      <w:r>
        <w:rPr>
          <w:bCs/>
        </w:rPr>
        <w:t>намењен</w:t>
      </w:r>
      <w:r w:rsidR="005006FA">
        <w:rPr>
          <w:bCs/>
        </w:rPr>
        <w:t>и</w:t>
      </w:r>
      <w:r>
        <w:rPr>
          <w:bCs/>
        </w:rPr>
        <w:t xml:space="preserve">  за ј</w:t>
      </w:r>
      <w:r>
        <w:t>авне електронске комуникационе услуге - MFCN (</w:t>
      </w:r>
      <w:r w:rsidR="00DD4EBA">
        <w:t>укључујући</w:t>
      </w:r>
      <w:r>
        <w:t xml:space="preserve"> и IMT)</w:t>
      </w:r>
      <w:r w:rsidR="00DD4EBA">
        <w:t xml:space="preserve">, а право на коришћење радио-фреквенција из </w:t>
      </w:r>
      <w:r w:rsidR="005006FA">
        <w:t xml:space="preserve">делова </w:t>
      </w:r>
      <w:r w:rsidR="00DD4EBA">
        <w:t>наведеног радио-фреквенцијског опсега стиче се</w:t>
      </w:r>
      <w:r>
        <w:t xml:space="preserve"> на основу појединачне дозволе за коришћење радио-фреквенција</w:t>
      </w:r>
      <w:r w:rsidR="00DD4EBA">
        <w:t>,</w:t>
      </w:r>
      <w:r>
        <w:t xml:space="preserve"> која се издаје</w:t>
      </w:r>
      <w:r w:rsidR="00DD4EBA">
        <w:t xml:space="preserve"> по спроведеном поступку</w:t>
      </w:r>
      <w:r>
        <w:t xml:space="preserve">  јавног надметања</w:t>
      </w:r>
      <w:r w:rsidR="00807E18">
        <w:t>, у складу са чланом 89. Закона</w:t>
      </w:r>
      <w:r>
        <w:t>.</w:t>
      </w:r>
    </w:p>
    <w:p w14:paraId="66CFC507" w14:textId="77777777" w:rsidR="00372CC9" w:rsidRPr="00A07012" w:rsidRDefault="00372CC9" w:rsidP="00FE225A">
      <w:pPr>
        <w:spacing w:before="100" w:beforeAutospacing="1" w:after="100" w:afterAutospacing="1"/>
        <w:ind w:firstLine="360"/>
        <w:jc w:val="both"/>
        <w:outlineLvl w:val="1"/>
        <w:rPr>
          <w:bCs/>
        </w:rPr>
      </w:pPr>
      <w:r>
        <w:t xml:space="preserve"> Доношење </w:t>
      </w:r>
      <w:r w:rsidR="00807E18">
        <w:t xml:space="preserve">Правилника о утврђивању </w:t>
      </w:r>
      <w:r>
        <w:t xml:space="preserve">Плана расподеле представља потребан услов </w:t>
      </w:r>
      <w:r>
        <w:rPr>
          <w:bCs/>
        </w:rPr>
        <w:t xml:space="preserve">за коришћење наведеног радио-фреквенцијског опсега за технологије мобилне телефоније пете генерације (5G). </w:t>
      </w:r>
      <w:r w:rsidR="00807E18">
        <w:rPr>
          <w:bCs/>
        </w:rPr>
        <w:t>Такође, један од приоритета који је поставила Европска унија је координирана примена 5G технологије у свим земљама чланицама до 2020. године. С тим у вези, интерес Републике Србије је да не заостаје у овом процесу</w:t>
      </w:r>
      <w:r w:rsidR="00FE225A">
        <w:rPr>
          <w:bCs/>
        </w:rPr>
        <w:t>, већ да узме активно и благовремено учешће. Из тог разлога, један од приоритета Агенције и претходни услов за спровођење јавног надметања за продају радио-фреквенцијског спектра за потребе</w:t>
      </w:r>
      <w:r w:rsidR="00807E18">
        <w:rPr>
          <w:bCs/>
        </w:rPr>
        <w:t xml:space="preserve"> </w:t>
      </w:r>
      <w:r w:rsidR="00FE225A">
        <w:rPr>
          <w:bCs/>
        </w:rPr>
        <w:t>5G технологије у 2020. години је и припрема, односно израда планова расподеле радио-фреквенцијских опсега за наведену технологију.</w:t>
      </w:r>
    </w:p>
    <w:p w14:paraId="4BC69833" w14:textId="77777777" w:rsidR="00372CC9" w:rsidRDefault="00372CC9" w:rsidP="00FE225A">
      <w:pPr>
        <w:ind w:firstLine="360"/>
        <w:jc w:val="both"/>
        <w:rPr>
          <w:b/>
        </w:rPr>
      </w:pPr>
      <w:r>
        <w:rPr>
          <w:lang w:val="sr-Cyrl-CS"/>
        </w:rPr>
        <w:t xml:space="preserve">Израда </w:t>
      </w:r>
      <w:r w:rsidR="00F87EF0">
        <w:rPr>
          <w:lang w:val="sr-Cyrl-CS"/>
        </w:rPr>
        <w:t>Нацрта правилника о утврђи</w:t>
      </w:r>
      <w:r w:rsidR="00FE225A">
        <w:rPr>
          <w:lang w:val="sr-Cyrl-CS"/>
        </w:rPr>
        <w:t>вању</w:t>
      </w:r>
      <w:r>
        <w:rPr>
          <w:lang w:val="sr-Cyrl-CS"/>
        </w:rPr>
        <w:t xml:space="preserve"> Плана расподеле је </w:t>
      </w:r>
      <w:r w:rsidR="00FE225A">
        <w:rPr>
          <w:lang w:val="sr-Cyrl-CS"/>
        </w:rPr>
        <w:t xml:space="preserve">садржана </w:t>
      </w:r>
      <w:r>
        <w:rPr>
          <w:lang w:val="sr-Cyrl-CS"/>
        </w:rPr>
        <w:t xml:space="preserve">у годишњем </w:t>
      </w:r>
      <w:r w:rsidR="004F23BE">
        <w:rPr>
          <w:lang w:val="sr-Cyrl-CS"/>
        </w:rPr>
        <w:t>П</w:t>
      </w:r>
      <w:r>
        <w:rPr>
          <w:lang w:val="sr-Cyrl-CS"/>
        </w:rPr>
        <w:t xml:space="preserve">лану рада Агенције за </w:t>
      </w:r>
      <w:r w:rsidR="004F23BE">
        <w:rPr>
          <w:lang w:val="sr-Cyrl-CS"/>
        </w:rPr>
        <w:t>2020.</w:t>
      </w:r>
      <w:r>
        <w:rPr>
          <w:lang w:val="sr-Cyrl-CS"/>
        </w:rPr>
        <w:t xml:space="preserve"> годину.</w:t>
      </w:r>
    </w:p>
    <w:p w14:paraId="1CC9C3A2" w14:textId="77777777" w:rsidR="00372CC9" w:rsidRDefault="00372CC9" w:rsidP="00372CC9">
      <w:pPr>
        <w:shd w:val="clear" w:color="auto" w:fill="FFFFFF"/>
        <w:tabs>
          <w:tab w:val="left" w:pos="0"/>
          <w:tab w:val="left" w:pos="360"/>
        </w:tabs>
        <w:jc w:val="both"/>
        <w:rPr>
          <w:b/>
        </w:rPr>
      </w:pPr>
    </w:p>
    <w:p w14:paraId="0362CEEF" w14:textId="77777777" w:rsidR="00372CC9" w:rsidRDefault="00372CC9" w:rsidP="00372CC9">
      <w:pPr>
        <w:shd w:val="clear" w:color="auto" w:fill="FFFFFF"/>
        <w:tabs>
          <w:tab w:val="left" w:pos="0"/>
          <w:tab w:val="left" w:pos="36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III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Објашњење појединих решења</w:t>
      </w:r>
    </w:p>
    <w:p w14:paraId="00A95955" w14:textId="77777777" w:rsidR="00372CC9" w:rsidRDefault="00372CC9" w:rsidP="00D2527B">
      <w:pPr>
        <w:pStyle w:val="Heading2"/>
        <w:rPr>
          <w:b/>
          <w:bCs/>
          <w:lang w:val="sr-Cyrl-CS"/>
        </w:rPr>
      </w:pPr>
      <w:r>
        <w:rPr>
          <w:lang w:val="sr-Cyrl-CS"/>
        </w:rPr>
        <w:t xml:space="preserve">Решења која су примењена у </w:t>
      </w:r>
      <w:r w:rsidR="00491056">
        <w:rPr>
          <w:lang w:val="sr-Cyrl-CS"/>
        </w:rPr>
        <w:t>Н</w:t>
      </w:r>
      <w:r>
        <w:rPr>
          <w:lang w:val="sr-Cyrl-CS"/>
        </w:rPr>
        <w:t xml:space="preserve">ацрту </w:t>
      </w:r>
      <w:r w:rsidR="00491056">
        <w:rPr>
          <w:lang w:val="sr-Cyrl-CS"/>
        </w:rPr>
        <w:t xml:space="preserve">правилника о утврђивању </w:t>
      </w:r>
      <w:r>
        <w:rPr>
          <w:lang w:val="sr-Cyrl-CS"/>
        </w:rPr>
        <w:t xml:space="preserve">Плана расподеле </w:t>
      </w:r>
      <w:r w:rsidR="00491056">
        <w:rPr>
          <w:lang w:val="sr-Cyrl-CS"/>
        </w:rPr>
        <w:t xml:space="preserve">су </w:t>
      </w:r>
      <w:r>
        <w:rPr>
          <w:lang w:val="sr-Cyrl-CS"/>
        </w:rPr>
        <w:t>у складу су са националном и међународном европском регулативом</w:t>
      </w:r>
      <w:r w:rsidR="00491056">
        <w:rPr>
          <w:lang w:val="sr-Cyrl-CS"/>
        </w:rPr>
        <w:t>, која је</w:t>
      </w:r>
      <w:r>
        <w:rPr>
          <w:lang w:val="sr-Cyrl-CS"/>
        </w:rPr>
        <w:t xml:space="preserve"> наведен</w:t>
      </w:r>
      <w:r w:rsidR="00491056">
        <w:rPr>
          <w:lang w:val="sr-Cyrl-CS"/>
        </w:rPr>
        <w:t>а</w:t>
      </w:r>
      <w:r>
        <w:rPr>
          <w:lang w:val="sr-Cyrl-CS"/>
        </w:rPr>
        <w:t xml:space="preserve"> у Уводу </w:t>
      </w:r>
      <w:r w:rsidR="00491056">
        <w:rPr>
          <w:lang w:val="sr-Cyrl-CS"/>
        </w:rPr>
        <w:t xml:space="preserve">предметног </w:t>
      </w:r>
      <w:r>
        <w:rPr>
          <w:lang w:val="sr-Cyrl-CS"/>
        </w:rPr>
        <w:t>Плана расподеле.</w:t>
      </w:r>
    </w:p>
    <w:p w14:paraId="7BD4AF53" w14:textId="77777777" w:rsidR="00372CC9" w:rsidRDefault="004A4180" w:rsidP="004A4180">
      <w:pPr>
        <w:shd w:val="clear" w:color="auto" w:fill="FFFFFF"/>
        <w:tabs>
          <w:tab w:val="left" w:pos="0"/>
          <w:tab w:val="left" w:pos="360"/>
        </w:tabs>
        <w:jc w:val="both"/>
        <w:rPr>
          <w:b/>
        </w:rPr>
      </w:pPr>
      <w:r>
        <w:tab/>
      </w:r>
      <w:r w:rsidR="00372CC9">
        <w:t xml:space="preserve">Члан </w:t>
      </w:r>
      <w:r w:rsidR="00491056">
        <w:t>3</w:t>
      </w:r>
      <w:r w:rsidR="00372CC9">
        <w:t xml:space="preserve">. </w:t>
      </w:r>
      <w:r w:rsidR="00491056">
        <w:t>Нацрта п</w:t>
      </w:r>
      <w:r w:rsidR="00372CC9">
        <w:t xml:space="preserve">равилника о </w:t>
      </w:r>
      <w:r w:rsidR="00372CC9">
        <w:rPr>
          <w:lang w:val="sr-Cyrl-CS"/>
        </w:rPr>
        <w:t xml:space="preserve">утврђивању Плана расподеле </w:t>
      </w:r>
      <w:r w:rsidR="00372CC9">
        <w:t>уређује моменат његовог ступања на снагу.</w:t>
      </w:r>
    </w:p>
    <w:p w14:paraId="2956EBC1" w14:textId="77777777" w:rsidR="00372CC9" w:rsidRDefault="00372CC9" w:rsidP="00372CC9">
      <w:pPr>
        <w:shd w:val="clear" w:color="auto" w:fill="FFFFFF"/>
        <w:tabs>
          <w:tab w:val="left" w:pos="360"/>
          <w:tab w:val="left" w:pos="709"/>
        </w:tabs>
        <w:spacing w:after="283"/>
        <w:ind w:firstLine="709"/>
        <w:rPr>
          <w:b/>
          <w:lang w:val="sr-Cyrl-CS"/>
        </w:rPr>
      </w:pPr>
      <w:r>
        <w:rPr>
          <w:b/>
          <w:lang w:val="sr-Cyrl-CS"/>
        </w:rPr>
        <w:lastRenderedPageBreak/>
        <w:tab/>
      </w:r>
      <w:r>
        <w:rPr>
          <w:b/>
        </w:rPr>
        <w:t>IV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Предлог даљих активности</w:t>
      </w:r>
    </w:p>
    <w:p w14:paraId="069F2003" w14:textId="77777777" w:rsidR="00372CC9" w:rsidRDefault="00372CC9" w:rsidP="00AA63D2">
      <w:pPr>
        <w:autoSpaceDE w:val="0"/>
        <w:autoSpaceDN w:val="0"/>
        <w:ind w:firstLine="709"/>
        <w:jc w:val="both"/>
        <w:rPr>
          <w:bCs/>
        </w:rPr>
      </w:pPr>
      <w:r>
        <w:rPr>
          <w:lang w:val="sr-Cyrl-CS"/>
        </w:rPr>
        <w:t xml:space="preserve">Предлаже се да Управни одбор Агенције размотри и усвоји Нацрт </w:t>
      </w:r>
      <w:r w:rsidR="00491056">
        <w:rPr>
          <w:lang w:val="sr-Cyrl-CS"/>
        </w:rPr>
        <w:t xml:space="preserve">правилника о утврђивању </w:t>
      </w:r>
      <w:r>
        <w:t>Плана расподеле</w:t>
      </w:r>
      <w:r>
        <w:rPr>
          <w:lang w:val="sr-Cyrl-CS" w:eastAsia="ar-SA"/>
        </w:rPr>
        <w:t>, као и</w:t>
      </w:r>
      <w:r>
        <w:rPr>
          <w:lang w:val="sr-Cyrl-CS"/>
        </w:rPr>
        <w:t xml:space="preserve"> да се исти, након тога, у складу са одредбама </w:t>
      </w:r>
      <w:r>
        <w:rPr>
          <w:bCs/>
          <w:lang w:val="sr-Cyrl-CS"/>
        </w:rPr>
        <w:t>чл. 34-36. Закона, упути на јавне консултације</w:t>
      </w:r>
      <w:r>
        <w:rPr>
          <w:rFonts w:eastAsia="Calibri"/>
          <w:lang w:val="sr-Cyrl-CS"/>
        </w:rPr>
        <w:t xml:space="preserve"> </w:t>
      </w:r>
      <w:r>
        <w:rPr>
          <w:bCs/>
        </w:rPr>
        <w:t>у трајању од 15 радних дана</w:t>
      </w:r>
      <w:r>
        <w:rPr>
          <w:bCs/>
          <w:lang w:val="sr-Cyrl-CS"/>
        </w:rPr>
        <w:t>.</w:t>
      </w:r>
    </w:p>
    <w:p w14:paraId="219BBEDA" w14:textId="77777777" w:rsidR="00491056" w:rsidRDefault="00491056" w:rsidP="00372CC9">
      <w:pPr>
        <w:ind w:firstLine="709"/>
        <w:jc w:val="both"/>
      </w:pPr>
    </w:p>
    <w:p w14:paraId="6EF567AA" w14:textId="77777777" w:rsidR="00372CC9" w:rsidRDefault="00372CC9" w:rsidP="00372CC9">
      <w:pPr>
        <w:ind w:firstLine="709"/>
        <w:jc w:val="both"/>
        <w:rPr>
          <w:bCs/>
        </w:rPr>
      </w:pPr>
      <w:r>
        <w:t>Након спроведених јавних консултација, извршиће се обрада и анализа приспелих примедаба, предлога и сугестија и Управном одбору Агенције ће се доставити одговарајући Предлог правилника</w:t>
      </w:r>
      <w:r>
        <w:rPr>
          <w:lang w:val="sr-Cyrl-CS"/>
        </w:rPr>
        <w:t xml:space="preserve"> о утврђивању Плана расподеле</w:t>
      </w:r>
      <w:r>
        <w:t xml:space="preserve">. По усвајању наведеног предлога акта, сагласно члану 84. ст. 3. и 4. Закона, тај општи акт се, након прибављеног мишљења </w:t>
      </w:r>
      <w:r>
        <w:rPr>
          <w:lang w:val="sr-Cyrl-CS"/>
        </w:rPr>
        <w:t>органа одбране, безбедности и служби за хитне интервенције,</w:t>
      </w:r>
      <w:r>
        <w:t xml:space="preserve"> yпyћyje надлежном министарству на даљу надлежност</w:t>
      </w:r>
      <w:r>
        <w:rPr>
          <w:lang w:val="sr-Cyrl-CS"/>
        </w:rPr>
        <w:t>.</w:t>
      </w:r>
    </w:p>
    <w:p w14:paraId="5796E6FB" w14:textId="77777777" w:rsidR="00372CC9" w:rsidRPr="00A07012" w:rsidRDefault="00372CC9" w:rsidP="00A07012">
      <w:pPr>
        <w:shd w:val="clear" w:color="auto" w:fill="FFFFFF"/>
        <w:tabs>
          <w:tab w:val="left" w:pos="360"/>
          <w:tab w:val="left" w:pos="709"/>
        </w:tabs>
        <w:spacing w:after="283"/>
        <w:ind w:firstLine="709"/>
        <w:rPr>
          <w:rFonts w:eastAsiaTheme="minorHAnsi"/>
          <w:b/>
          <w:lang w:val="sr-Cyrl-CS" w:bidi="en-US"/>
        </w:rPr>
      </w:pPr>
      <w:r>
        <w:t xml:space="preserve">         </w:t>
      </w:r>
    </w:p>
    <w:p w14:paraId="53281FB2" w14:textId="77777777" w:rsidR="00372CC9" w:rsidRDefault="00372CC9" w:rsidP="00372CC9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  <w:r>
        <w:rPr>
          <w:b/>
          <w:lang w:val="sr-Latn-CS"/>
        </w:rPr>
        <w:t>V.</w:t>
      </w:r>
      <w:r>
        <w:rPr>
          <w:b/>
          <w:lang w:val="sr-Cyrl-CS"/>
        </w:rPr>
        <w:t xml:space="preserve"> Процена финансијских средстава </w:t>
      </w:r>
    </w:p>
    <w:p w14:paraId="4554DAD0" w14:textId="77777777" w:rsidR="00372CC9" w:rsidRDefault="00372CC9" w:rsidP="00372CC9">
      <w:pPr>
        <w:shd w:val="clear" w:color="auto" w:fill="FFFFFF"/>
        <w:tabs>
          <w:tab w:val="left" w:pos="0"/>
          <w:tab w:val="left" w:pos="360"/>
        </w:tabs>
        <w:spacing w:after="283"/>
        <w:ind w:firstLine="357"/>
        <w:jc w:val="both"/>
        <w:rPr>
          <w:lang w:val="sr-Cyrl-CS"/>
        </w:rPr>
      </w:pPr>
      <w:r>
        <w:rPr>
          <w:lang w:val="sr-Cyrl-CS"/>
        </w:rPr>
        <w:tab/>
        <w:t xml:space="preserve"> </w:t>
      </w:r>
      <w:r>
        <w:rPr>
          <w:bCs/>
          <w:lang w:val="sr-Cyrl-CS"/>
        </w:rPr>
        <w:t>За спровођење овог правилника није потребно обезбедити посебна средства у финансијском плану Агенције.</w:t>
      </w:r>
      <w:r>
        <w:rPr>
          <w:lang w:val="sr-Latn-CS"/>
        </w:rPr>
        <w:t xml:space="preserve"> </w:t>
      </w:r>
    </w:p>
    <w:p w14:paraId="635B2DA9" w14:textId="77777777" w:rsidR="00372CC9" w:rsidRPr="00822C12" w:rsidRDefault="00372CC9" w:rsidP="00D2527B">
      <w:pPr>
        <w:pStyle w:val="Heading2"/>
        <w:rPr>
          <w:lang w:val="sr-Cyrl-CS"/>
        </w:rPr>
      </w:pPr>
    </w:p>
    <w:sectPr w:rsidR="00372CC9" w:rsidRPr="00822C12" w:rsidSect="00362364">
      <w:footerReference w:type="default" r:id="rId8"/>
      <w:pgSz w:w="11907" w:h="16839" w:code="9"/>
      <w:pgMar w:top="1440" w:right="1275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E985" w14:textId="77777777" w:rsidR="00DA1BD9" w:rsidRDefault="00DA1BD9" w:rsidP="002406EE">
      <w:r>
        <w:separator/>
      </w:r>
    </w:p>
  </w:endnote>
  <w:endnote w:type="continuationSeparator" w:id="0">
    <w:p w14:paraId="3B0EB1DA" w14:textId="77777777" w:rsidR="00DA1BD9" w:rsidRDefault="00DA1BD9" w:rsidP="002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61575"/>
      <w:docPartObj>
        <w:docPartGallery w:val="Page Numbers (Bottom of Page)"/>
        <w:docPartUnique/>
      </w:docPartObj>
    </w:sdtPr>
    <w:sdtEndPr/>
    <w:sdtContent>
      <w:p w14:paraId="029CB42B" w14:textId="77777777" w:rsidR="00DA1BD9" w:rsidRDefault="00AE6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89649" w14:textId="77777777" w:rsidR="00DA1BD9" w:rsidRDefault="00DA1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38CE7" w14:textId="77777777" w:rsidR="00DA1BD9" w:rsidRDefault="00DA1BD9" w:rsidP="002406EE">
      <w:r>
        <w:separator/>
      </w:r>
    </w:p>
  </w:footnote>
  <w:footnote w:type="continuationSeparator" w:id="0">
    <w:p w14:paraId="5B620E40" w14:textId="77777777" w:rsidR="00DA1BD9" w:rsidRDefault="00DA1BD9" w:rsidP="0024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19A178B"/>
    <w:multiLevelType w:val="hybridMultilevel"/>
    <w:tmpl w:val="C15C9E6E"/>
    <w:lvl w:ilvl="0" w:tplc="8DEE6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CB3"/>
    <w:multiLevelType w:val="hybridMultilevel"/>
    <w:tmpl w:val="855A425C"/>
    <w:lvl w:ilvl="0" w:tplc="04463DC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  <w:color w:val="D2232A"/>
      </w:rPr>
    </w:lvl>
    <w:lvl w:ilvl="1" w:tplc="D1AC4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50E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AB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C5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C9C5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F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6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21A4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318A"/>
    <w:multiLevelType w:val="hybridMultilevel"/>
    <w:tmpl w:val="8A4286F6"/>
    <w:lvl w:ilvl="0" w:tplc="DB26D46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C6234E6"/>
    <w:multiLevelType w:val="hybridMultilevel"/>
    <w:tmpl w:val="06F8C2F4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5334"/>
    <w:multiLevelType w:val="multilevel"/>
    <w:tmpl w:val="FB5C90E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83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6" w15:restartNumberingAfterBreak="0">
    <w:nsid w:val="10320A2B"/>
    <w:multiLevelType w:val="multilevel"/>
    <w:tmpl w:val="F4760900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3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7" w15:restartNumberingAfterBreak="0">
    <w:nsid w:val="16C1250A"/>
    <w:multiLevelType w:val="hybridMultilevel"/>
    <w:tmpl w:val="0E7613A0"/>
    <w:lvl w:ilvl="0" w:tplc="3A38E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6D84"/>
    <w:multiLevelType w:val="hybridMultilevel"/>
    <w:tmpl w:val="C3F084D8"/>
    <w:lvl w:ilvl="0" w:tplc="1EB6A51C">
      <w:start w:val="1"/>
      <w:numFmt w:val="upperRoman"/>
      <w:lvlText w:val="%1."/>
      <w:lvlJc w:val="left"/>
      <w:pPr>
        <w:ind w:left="264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60FCB"/>
    <w:multiLevelType w:val="hybridMultilevel"/>
    <w:tmpl w:val="23302A32"/>
    <w:lvl w:ilvl="0" w:tplc="3A38E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E184A"/>
    <w:multiLevelType w:val="hybridMultilevel"/>
    <w:tmpl w:val="F51A9A3A"/>
    <w:lvl w:ilvl="0" w:tplc="599AD8DA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D1AC4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50E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AB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C5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C9C5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F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6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21A4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A88"/>
    <w:multiLevelType w:val="hybridMultilevel"/>
    <w:tmpl w:val="C7209F50"/>
    <w:lvl w:ilvl="0" w:tplc="19DE9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265E3"/>
    <w:multiLevelType w:val="hybridMultilevel"/>
    <w:tmpl w:val="BBF41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2F04"/>
    <w:multiLevelType w:val="hybridMultilevel"/>
    <w:tmpl w:val="6C6E40DE"/>
    <w:lvl w:ilvl="0" w:tplc="6E9CEC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27FFC"/>
    <w:multiLevelType w:val="hybridMultilevel"/>
    <w:tmpl w:val="D3C0F7D4"/>
    <w:lvl w:ilvl="0" w:tplc="31E2FA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C6153"/>
    <w:multiLevelType w:val="hybridMultilevel"/>
    <w:tmpl w:val="022497AA"/>
    <w:lvl w:ilvl="0" w:tplc="55643E4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3123262"/>
    <w:multiLevelType w:val="hybridMultilevel"/>
    <w:tmpl w:val="28CA3F8E"/>
    <w:lvl w:ilvl="0" w:tplc="7E9E071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80D2376"/>
    <w:multiLevelType w:val="hybridMultilevel"/>
    <w:tmpl w:val="29CE2BC0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9544396"/>
    <w:multiLevelType w:val="multilevel"/>
    <w:tmpl w:val="3E58092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 w15:restartNumberingAfterBreak="0">
    <w:nsid w:val="5F9947D4"/>
    <w:multiLevelType w:val="hybridMultilevel"/>
    <w:tmpl w:val="C9AA039C"/>
    <w:lvl w:ilvl="0" w:tplc="CE32CC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7B4B"/>
    <w:multiLevelType w:val="hybridMultilevel"/>
    <w:tmpl w:val="9708A454"/>
    <w:lvl w:ilvl="0" w:tplc="D004E5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92958"/>
    <w:multiLevelType w:val="hybridMultilevel"/>
    <w:tmpl w:val="A89279D4"/>
    <w:lvl w:ilvl="0" w:tplc="3AEE1F1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F3E44"/>
    <w:multiLevelType w:val="hybridMultilevel"/>
    <w:tmpl w:val="E528CA56"/>
    <w:lvl w:ilvl="0" w:tplc="B0D431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6EC972E6"/>
    <w:multiLevelType w:val="hybridMultilevel"/>
    <w:tmpl w:val="E21250A0"/>
    <w:lvl w:ilvl="0" w:tplc="ACC48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13EAC"/>
    <w:multiLevelType w:val="hybridMultilevel"/>
    <w:tmpl w:val="0E24DA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5157C9C"/>
    <w:multiLevelType w:val="hybridMultilevel"/>
    <w:tmpl w:val="EFDC7916"/>
    <w:lvl w:ilvl="0" w:tplc="DB26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8587A"/>
    <w:multiLevelType w:val="hybridMultilevel"/>
    <w:tmpl w:val="3C225E9E"/>
    <w:lvl w:ilvl="0" w:tplc="2B387CAC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6597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2067"/>
        </w:tabs>
        <w:ind w:left="20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4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75"/>
        </w:tabs>
        <w:ind w:left="30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95"/>
        </w:tabs>
        <w:ind w:left="35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0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75"/>
        </w:tabs>
        <w:ind w:left="45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5"/>
        </w:tabs>
        <w:ind w:left="50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55"/>
        </w:tabs>
        <w:ind w:left="5595" w:hanging="1440"/>
      </w:pPr>
      <w:rPr>
        <w:rFonts w:hint="default"/>
      </w:rPr>
    </w:lvl>
  </w:abstractNum>
  <w:num w:numId="1">
    <w:abstractNumId w:val="9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"/>
  </w:num>
  <w:num w:numId="5">
    <w:abstractNumId w:val="7"/>
  </w:num>
  <w:num w:numId="6">
    <w:abstractNumId w:val="16"/>
  </w:num>
  <w:num w:numId="7">
    <w:abstractNumId w:val="18"/>
  </w:num>
  <w:num w:numId="8">
    <w:abstractNumId w:val="5"/>
  </w:num>
  <w:num w:numId="9">
    <w:abstractNumId w:val="15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6"/>
  </w:num>
  <w:num w:numId="15">
    <w:abstractNumId w:val="0"/>
  </w:num>
  <w:num w:numId="16">
    <w:abstractNumId w:val="17"/>
  </w:num>
  <w:num w:numId="17">
    <w:abstractNumId w:val="10"/>
  </w:num>
  <w:num w:numId="18">
    <w:abstractNumId w:val="2"/>
  </w:num>
  <w:num w:numId="19">
    <w:abstractNumId w:val="26"/>
  </w:num>
  <w:num w:numId="20">
    <w:abstractNumId w:val="27"/>
  </w:num>
  <w:num w:numId="21">
    <w:abstractNumId w:val="23"/>
  </w:num>
  <w:num w:numId="22">
    <w:abstractNumId w:val="20"/>
  </w:num>
  <w:num w:numId="23">
    <w:abstractNumId w:val="1"/>
  </w:num>
  <w:num w:numId="24">
    <w:abstractNumId w:val="4"/>
  </w:num>
  <w:num w:numId="25">
    <w:abstractNumId w:val="21"/>
  </w:num>
  <w:num w:numId="26">
    <w:abstractNumId w:val="19"/>
  </w:num>
  <w:num w:numId="27">
    <w:abstractNumId w:val="11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987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5"/>
    <w:rsid w:val="0000066A"/>
    <w:rsid w:val="0000575A"/>
    <w:rsid w:val="00013B0A"/>
    <w:rsid w:val="00013E7E"/>
    <w:rsid w:val="00014388"/>
    <w:rsid w:val="000151F6"/>
    <w:rsid w:val="000211EB"/>
    <w:rsid w:val="000256A2"/>
    <w:rsid w:val="0002739C"/>
    <w:rsid w:val="00031C6B"/>
    <w:rsid w:val="00032087"/>
    <w:rsid w:val="00040F01"/>
    <w:rsid w:val="00040FCB"/>
    <w:rsid w:val="00042FAD"/>
    <w:rsid w:val="000451E5"/>
    <w:rsid w:val="00047628"/>
    <w:rsid w:val="00055373"/>
    <w:rsid w:val="000559A7"/>
    <w:rsid w:val="00062D93"/>
    <w:rsid w:val="00064B8B"/>
    <w:rsid w:val="00067375"/>
    <w:rsid w:val="00071261"/>
    <w:rsid w:val="00071342"/>
    <w:rsid w:val="00073004"/>
    <w:rsid w:val="00085A60"/>
    <w:rsid w:val="00087916"/>
    <w:rsid w:val="000912DE"/>
    <w:rsid w:val="00094262"/>
    <w:rsid w:val="00094F9F"/>
    <w:rsid w:val="00094FB6"/>
    <w:rsid w:val="0009535D"/>
    <w:rsid w:val="000A2282"/>
    <w:rsid w:val="000A722B"/>
    <w:rsid w:val="000B306D"/>
    <w:rsid w:val="000B6E95"/>
    <w:rsid w:val="000C0A27"/>
    <w:rsid w:val="000C1909"/>
    <w:rsid w:val="000C2048"/>
    <w:rsid w:val="000C29D1"/>
    <w:rsid w:val="000C3404"/>
    <w:rsid w:val="000C371B"/>
    <w:rsid w:val="000C5D27"/>
    <w:rsid w:val="000C69B6"/>
    <w:rsid w:val="000C7482"/>
    <w:rsid w:val="000D128B"/>
    <w:rsid w:val="000D3467"/>
    <w:rsid w:val="000D3C54"/>
    <w:rsid w:val="000D5C58"/>
    <w:rsid w:val="000E0A6F"/>
    <w:rsid w:val="000E0D53"/>
    <w:rsid w:val="000E4952"/>
    <w:rsid w:val="000E5EE1"/>
    <w:rsid w:val="000E6143"/>
    <w:rsid w:val="000E7DAF"/>
    <w:rsid w:val="000F7F28"/>
    <w:rsid w:val="00102365"/>
    <w:rsid w:val="00102A3D"/>
    <w:rsid w:val="00111F2A"/>
    <w:rsid w:val="00117140"/>
    <w:rsid w:val="001175BA"/>
    <w:rsid w:val="00117775"/>
    <w:rsid w:val="0012141F"/>
    <w:rsid w:val="00121E23"/>
    <w:rsid w:val="00122FF1"/>
    <w:rsid w:val="0012346B"/>
    <w:rsid w:val="001266D5"/>
    <w:rsid w:val="00130947"/>
    <w:rsid w:val="001333CC"/>
    <w:rsid w:val="00135B10"/>
    <w:rsid w:val="00136BB0"/>
    <w:rsid w:val="00137CAA"/>
    <w:rsid w:val="001432FC"/>
    <w:rsid w:val="00145661"/>
    <w:rsid w:val="00146ECE"/>
    <w:rsid w:val="00147BAC"/>
    <w:rsid w:val="001522F2"/>
    <w:rsid w:val="001527B1"/>
    <w:rsid w:val="001528A5"/>
    <w:rsid w:val="0015737E"/>
    <w:rsid w:val="00157B02"/>
    <w:rsid w:val="00157C3A"/>
    <w:rsid w:val="00157F90"/>
    <w:rsid w:val="00163AA7"/>
    <w:rsid w:val="00164A03"/>
    <w:rsid w:val="00164ABA"/>
    <w:rsid w:val="00165620"/>
    <w:rsid w:val="001736C6"/>
    <w:rsid w:val="001801B2"/>
    <w:rsid w:val="001819CD"/>
    <w:rsid w:val="0018628F"/>
    <w:rsid w:val="001876EF"/>
    <w:rsid w:val="001929BB"/>
    <w:rsid w:val="00192F67"/>
    <w:rsid w:val="00193220"/>
    <w:rsid w:val="00194EE9"/>
    <w:rsid w:val="001A1356"/>
    <w:rsid w:val="001A6DB1"/>
    <w:rsid w:val="001A71A0"/>
    <w:rsid w:val="001B27B5"/>
    <w:rsid w:val="001B27D4"/>
    <w:rsid w:val="001B593C"/>
    <w:rsid w:val="001B6DB5"/>
    <w:rsid w:val="001B7061"/>
    <w:rsid w:val="001C34B3"/>
    <w:rsid w:val="001C3567"/>
    <w:rsid w:val="001C4B3E"/>
    <w:rsid w:val="001C5193"/>
    <w:rsid w:val="001C6132"/>
    <w:rsid w:val="001C7710"/>
    <w:rsid w:val="001D0A5A"/>
    <w:rsid w:val="001D4267"/>
    <w:rsid w:val="001D612A"/>
    <w:rsid w:val="001D6DFE"/>
    <w:rsid w:val="001D754D"/>
    <w:rsid w:val="001E3D19"/>
    <w:rsid w:val="001E4BB5"/>
    <w:rsid w:val="001E4E28"/>
    <w:rsid w:val="001F11B5"/>
    <w:rsid w:val="001F13CD"/>
    <w:rsid w:val="001F1A51"/>
    <w:rsid w:val="001F58D8"/>
    <w:rsid w:val="001F5EA1"/>
    <w:rsid w:val="001F7EE3"/>
    <w:rsid w:val="002001B6"/>
    <w:rsid w:val="002064C4"/>
    <w:rsid w:val="00207BC3"/>
    <w:rsid w:val="00210BAD"/>
    <w:rsid w:val="00213C4A"/>
    <w:rsid w:val="00215F60"/>
    <w:rsid w:val="0022090D"/>
    <w:rsid w:val="00222DB4"/>
    <w:rsid w:val="00225EFB"/>
    <w:rsid w:val="0022714E"/>
    <w:rsid w:val="002272D9"/>
    <w:rsid w:val="002335E3"/>
    <w:rsid w:val="0023627A"/>
    <w:rsid w:val="00237023"/>
    <w:rsid w:val="002406EE"/>
    <w:rsid w:val="002409C4"/>
    <w:rsid w:val="00243A59"/>
    <w:rsid w:val="00244903"/>
    <w:rsid w:val="00247C8D"/>
    <w:rsid w:val="00250C4A"/>
    <w:rsid w:val="002510C0"/>
    <w:rsid w:val="00252645"/>
    <w:rsid w:val="0025375A"/>
    <w:rsid w:val="002609C9"/>
    <w:rsid w:val="002634C9"/>
    <w:rsid w:val="00267872"/>
    <w:rsid w:val="00271420"/>
    <w:rsid w:val="00271EA2"/>
    <w:rsid w:val="00275381"/>
    <w:rsid w:val="00275584"/>
    <w:rsid w:val="00281157"/>
    <w:rsid w:val="002813B8"/>
    <w:rsid w:val="0028573A"/>
    <w:rsid w:val="00285FCB"/>
    <w:rsid w:val="00287D82"/>
    <w:rsid w:val="002943AF"/>
    <w:rsid w:val="002959A7"/>
    <w:rsid w:val="002A0439"/>
    <w:rsid w:val="002A3C3B"/>
    <w:rsid w:val="002A7DA2"/>
    <w:rsid w:val="002A7E42"/>
    <w:rsid w:val="002B03DF"/>
    <w:rsid w:val="002B0830"/>
    <w:rsid w:val="002B2A0B"/>
    <w:rsid w:val="002B2B5A"/>
    <w:rsid w:val="002B73AD"/>
    <w:rsid w:val="002B7E0A"/>
    <w:rsid w:val="002C08C5"/>
    <w:rsid w:val="002C10BA"/>
    <w:rsid w:val="002C333A"/>
    <w:rsid w:val="002C4649"/>
    <w:rsid w:val="002D22D5"/>
    <w:rsid w:val="002E087C"/>
    <w:rsid w:val="002E25BF"/>
    <w:rsid w:val="002E3369"/>
    <w:rsid w:val="002E3B4D"/>
    <w:rsid w:val="002E5A85"/>
    <w:rsid w:val="002E79F8"/>
    <w:rsid w:val="002F0943"/>
    <w:rsid w:val="002F25E1"/>
    <w:rsid w:val="002F30A1"/>
    <w:rsid w:val="002F3AD5"/>
    <w:rsid w:val="002F511E"/>
    <w:rsid w:val="002F667C"/>
    <w:rsid w:val="002F6BCA"/>
    <w:rsid w:val="00303AA9"/>
    <w:rsid w:val="0031254D"/>
    <w:rsid w:val="003125A5"/>
    <w:rsid w:val="00315018"/>
    <w:rsid w:val="003153DF"/>
    <w:rsid w:val="00315E64"/>
    <w:rsid w:val="003176F5"/>
    <w:rsid w:val="00320396"/>
    <w:rsid w:val="003230DC"/>
    <w:rsid w:val="00323494"/>
    <w:rsid w:val="003308B8"/>
    <w:rsid w:val="003327DF"/>
    <w:rsid w:val="00334ABB"/>
    <w:rsid w:val="0033606D"/>
    <w:rsid w:val="00341C1A"/>
    <w:rsid w:val="0034271B"/>
    <w:rsid w:val="003433FC"/>
    <w:rsid w:val="00344567"/>
    <w:rsid w:val="00346ACC"/>
    <w:rsid w:val="0034711F"/>
    <w:rsid w:val="0034755A"/>
    <w:rsid w:val="00354EC0"/>
    <w:rsid w:val="003569AF"/>
    <w:rsid w:val="003607CD"/>
    <w:rsid w:val="00362364"/>
    <w:rsid w:val="003627CE"/>
    <w:rsid w:val="003638D9"/>
    <w:rsid w:val="00366513"/>
    <w:rsid w:val="00366B87"/>
    <w:rsid w:val="0037075B"/>
    <w:rsid w:val="00372C83"/>
    <w:rsid w:val="00372CC9"/>
    <w:rsid w:val="00373D67"/>
    <w:rsid w:val="003753CC"/>
    <w:rsid w:val="00380FBE"/>
    <w:rsid w:val="003812F4"/>
    <w:rsid w:val="0038159A"/>
    <w:rsid w:val="00384E12"/>
    <w:rsid w:val="003904E6"/>
    <w:rsid w:val="00393F3D"/>
    <w:rsid w:val="00394519"/>
    <w:rsid w:val="0039720F"/>
    <w:rsid w:val="003976B6"/>
    <w:rsid w:val="003A169C"/>
    <w:rsid w:val="003A399F"/>
    <w:rsid w:val="003A4224"/>
    <w:rsid w:val="003A42C1"/>
    <w:rsid w:val="003A53DF"/>
    <w:rsid w:val="003B288F"/>
    <w:rsid w:val="003B3491"/>
    <w:rsid w:val="003B5785"/>
    <w:rsid w:val="003B5D48"/>
    <w:rsid w:val="003B6143"/>
    <w:rsid w:val="003B639D"/>
    <w:rsid w:val="003B717F"/>
    <w:rsid w:val="003C0002"/>
    <w:rsid w:val="003C131D"/>
    <w:rsid w:val="003C7425"/>
    <w:rsid w:val="003D1547"/>
    <w:rsid w:val="003E04DA"/>
    <w:rsid w:val="003E1B02"/>
    <w:rsid w:val="003E3037"/>
    <w:rsid w:val="003E5996"/>
    <w:rsid w:val="003E68A3"/>
    <w:rsid w:val="003F034D"/>
    <w:rsid w:val="003F1222"/>
    <w:rsid w:val="003F3A1A"/>
    <w:rsid w:val="003F3A9C"/>
    <w:rsid w:val="003F4593"/>
    <w:rsid w:val="003F5B4B"/>
    <w:rsid w:val="0040472F"/>
    <w:rsid w:val="004060C4"/>
    <w:rsid w:val="004065F9"/>
    <w:rsid w:val="00407A90"/>
    <w:rsid w:val="00407AED"/>
    <w:rsid w:val="0041084F"/>
    <w:rsid w:val="004112DF"/>
    <w:rsid w:val="00411A32"/>
    <w:rsid w:val="00413D97"/>
    <w:rsid w:val="004140DD"/>
    <w:rsid w:val="00415580"/>
    <w:rsid w:val="0041647B"/>
    <w:rsid w:val="004176E0"/>
    <w:rsid w:val="00422BDE"/>
    <w:rsid w:val="00423269"/>
    <w:rsid w:val="00425B93"/>
    <w:rsid w:val="00427758"/>
    <w:rsid w:val="00432676"/>
    <w:rsid w:val="004346EF"/>
    <w:rsid w:val="004368DD"/>
    <w:rsid w:val="00437E0A"/>
    <w:rsid w:val="00446DDD"/>
    <w:rsid w:val="0045264B"/>
    <w:rsid w:val="00452B16"/>
    <w:rsid w:val="00455779"/>
    <w:rsid w:val="00462B75"/>
    <w:rsid w:val="0046379F"/>
    <w:rsid w:val="00463B83"/>
    <w:rsid w:val="0046591B"/>
    <w:rsid w:val="0047030C"/>
    <w:rsid w:val="0047060B"/>
    <w:rsid w:val="004712EC"/>
    <w:rsid w:val="004719AF"/>
    <w:rsid w:val="00472213"/>
    <w:rsid w:val="00472AEB"/>
    <w:rsid w:val="00472B3E"/>
    <w:rsid w:val="00481CD0"/>
    <w:rsid w:val="00481FAB"/>
    <w:rsid w:val="00482AEB"/>
    <w:rsid w:val="00485851"/>
    <w:rsid w:val="00486177"/>
    <w:rsid w:val="00487DA3"/>
    <w:rsid w:val="00491056"/>
    <w:rsid w:val="00492286"/>
    <w:rsid w:val="004928FA"/>
    <w:rsid w:val="00493016"/>
    <w:rsid w:val="00493ED0"/>
    <w:rsid w:val="004959D8"/>
    <w:rsid w:val="00496CBD"/>
    <w:rsid w:val="004A1256"/>
    <w:rsid w:val="004A4180"/>
    <w:rsid w:val="004A44DA"/>
    <w:rsid w:val="004A5B00"/>
    <w:rsid w:val="004B358F"/>
    <w:rsid w:val="004B5C26"/>
    <w:rsid w:val="004B719D"/>
    <w:rsid w:val="004B7E96"/>
    <w:rsid w:val="004C1E49"/>
    <w:rsid w:val="004C2E50"/>
    <w:rsid w:val="004C3A40"/>
    <w:rsid w:val="004C7C0C"/>
    <w:rsid w:val="004C7FC7"/>
    <w:rsid w:val="004D1DA1"/>
    <w:rsid w:val="004D261F"/>
    <w:rsid w:val="004D5222"/>
    <w:rsid w:val="004D7123"/>
    <w:rsid w:val="004D71DF"/>
    <w:rsid w:val="004E034E"/>
    <w:rsid w:val="004E33F9"/>
    <w:rsid w:val="004E35A3"/>
    <w:rsid w:val="004E4A4D"/>
    <w:rsid w:val="004E53A9"/>
    <w:rsid w:val="004E6D9A"/>
    <w:rsid w:val="004E6F8D"/>
    <w:rsid w:val="004F01FD"/>
    <w:rsid w:val="004F08EA"/>
    <w:rsid w:val="004F0C0B"/>
    <w:rsid w:val="004F23BE"/>
    <w:rsid w:val="004F25A3"/>
    <w:rsid w:val="004F68B7"/>
    <w:rsid w:val="005006FA"/>
    <w:rsid w:val="00504E16"/>
    <w:rsid w:val="00507437"/>
    <w:rsid w:val="0051305E"/>
    <w:rsid w:val="0051458B"/>
    <w:rsid w:val="00515C0B"/>
    <w:rsid w:val="00516A1F"/>
    <w:rsid w:val="00517D45"/>
    <w:rsid w:val="005209E8"/>
    <w:rsid w:val="00520CEF"/>
    <w:rsid w:val="00521058"/>
    <w:rsid w:val="0052361B"/>
    <w:rsid w:val="00525EB1"/>
    <w:rsid w:val="005312DE"/>
    <w:rsid w:val="005318B3"/>
    <w:rsid w:val="00531AAE"/>
    <w:rsid w:val="0053780D"/>
    <w:rsid w:val="00544BD1"/>
    <w:rsid w:val="0054792B"/>
    <w:rsid w:val="0055097A"/>
    <w:rsid w:val="0055162B"/>
    <w:rsid w:val="00551B7E"/>
    <w:rsid w:val="00551C38"/>
    <w:rsid w:val="005536F0"/>
    <w:rsid w:val="00560247"/>
    <w:rsid w:val="00560779"/>
    <w:rsid w:val="005618A5"/>
    <w:rsid w:val="00563157"/>
    <w:rsid w:val="00564296"/>
    <w:rsid w:val="00565013"/>
    <w:rsid w:val="005658A8"/>
    <w:rsid w:val="00566BDB"/>
    <w:rsid w:val="00574CF7"/>
    <w:rsid w:val="00576132"/>
    <w:rsid w:val="00577086"/>
    <w:rsid w:val="0057709B"/>
    <w:rsid w:val="00580584"/>
    <w:rsid w:val="00581A79"/>
    <w:rsid w:val="00581AE2"/>
    <w:rsid w:val="005835D9"/>
    <w:rsid w:val="00583E60"/>
    <w:rsid w:val="00585B3E"/>
    <w:rsid w:val="00592A92"/>
    <w:rsid w:val="005977D9"/>
    <w:rsid w:val="005A00CB"/>
    <w:rsid w:val="005A1419"/>
    <w:rsid w:val="005A241B"/>
    <w:rsid w:val="005A2FC8"/>
    <w:rsid w:val="005A38BB"/>
    <w:rsid w:val="005A6F32"/>
    <w:rsid w:val="005B0A1A"/>
    <w:rsid w:val="005B2389"/>
    <w:rsid w:val="005B30A2"/>
    <w:rsid w:val="005B47DA"/>
    <w:rsid w:val="005B524B"/>
    <w:rsid w:val="005B7307"/>
    <w:rsid w:val="005C049C"/>
    <w:rsid w:val="005C0E45"/>
    <w:rsid w:val="005C1D48"/>
    <w:rsid w:val="005C2181"/>
    <w:rsid w:val="005C4FD4"/>
    <w:rsid w:val="005C5564"/>
    <w:rsid w:val="005D0D00"/>
    <w:rsid w:val="005D107F"/>
    <w:rsid w:val="005D5CB2"/>
    <w:rsid w:val="005D5D0E"/>
    <w:rsid w:val="005D6B9E"/>
    <w:rsid w:val="005D7DDC"/>
    <w:rsid w:val="005E024B"/>
    <w:rsid w:val="005E046A"/>
    <w:rsid w:val="005E57E5"/>
    <w:rsid w:val="005E69E1"/>
    <w:rsid w:val="005E6DEA"/>
    <w:rsid w:val="005F1F50"/>
    <w:rsid w:val="005F2A29"/>
    <w:rsid w:val="00601BA0"/>
    <w:rsid w:val="00602B6F"/>
    <w:rsid w:val="006036EB"/>
    <w:rsid w:val="00604E57"/>
    <w:rsid w:val="006054BC"/>
    <w:rsid w:val="0061402F"/>
    <w:rsid w:val="006159FE"/>
    <w:rsid w:val="006204ED"/>
    <w:rsid w:val="00621344"/>
    <w:rsid w:val="006235FC"/>
    <w:rsid w:val="00625F9C"/>
    <w:rsid w:val="006265B8"/>
    <w:rsid w:val="0062720D"/>
    <w:rsid w:val="006367EE"/>
    <w:rsid w:val="00637358"/>
    <w:rsid w:val="00640907"/>
    <w:rsid w:val="00640B0B"/>
    <w:rsid w:val="006419FD"/>
    <w:rsid w:val="00641C7E"/>
    <w:rsid w:val="006477FF"/>
    <w:rsid w:val="0065121C"/>
    <w:rsid w:val="00651897"/>
    <w:rsid w:val="00654E5E"/>
    <w:rsid w:val="00655ED5"/>
    <w:rsid w:val="0066186C"/>
    <w:rsid w:val="00662723"/>
    <w:rsid w:val="0066554A"/>
    <w:rsid w:val="00667AF5"/>
    <w:rsid w:val="00673C7F"/>
    <w:rsid w:val="00675D4E"/>
    <w:rsid w:val="00682305"/>
    <w:rsid w:val="00682C47"/>
    <w:rsid w:val="006912C1"/>
    <w:rsid w:val="00693FE9"/>
    <w:rsid w:val="006A15FC"/>
    <w:rsid w:val="006A223B"/>
    <w:rsid w:val="006A4999"/>
    <w:rsid w:val="006A71F1"/>
    <w:rsid w:val="006B0035"/>
    <w:rsid w:val="006B0584"/>
    <w:rsid w:val="006B0713"/>
    <w:rsid w:val="006B2C04"/>
    <w:rsid w:val="006C420F"/>
    <w:rsid w:val="006C5079"/>
    <w:rsid w:val="006D1B58"/>
    <w:rsid w:val="006D3DBC"/>
    <w:rsid w:val="006D51CD"/>
    <w:rsid w:val="006D6604"/>
    <w:rsid w:val="006E5F48"/>
    <w:rsid w:val="006F1CBC"/>
    <w:rsid w:val="006F2D3F"/>
    <w:rsid w:val="006F4406"/>
    <w:rsid w:val="006F5019"/>
    <w:rsid w:val="006F67CE"/>
    <w:rsid w:val="006F6FB6"/>
    <w:rsid w:val="006F7B95"/>
    <w:rsid w:val="00701732"/>
    <w:rsid w:val="00703745"/>
    <w:rsid w:val="0070675F"/>
    <w:rsid w:val="007112BE"/>
    <w:rsid w:val="0071157B"/>
    <w:rsid w:val="00717B58"/>
    <w:rsid w:val="00726B21"/>
    <w:rsid w:val="00727CB9"/>
    <w:rsid w:val="00730C41"/>
    <w:rsid w:val="00730C9E"/>
    <w:rsid w:val="00735A7C"/>
    <w:rsid w:val="0073698A"/>
    <w:rsid w:val="00736CD6"/>
    <w:rsid w:val="00741EC8"/>
    <w:rsid w:val="00742560"/>
    <w:rsid w:val="00744DA6"/>
    <w:rsid w:val="007524D7"/>
    <w:rsid w:val="00752D20"/>
    <w:rsid w:val="00753EC6"/>
    <w:rsid w:val="0076118F"/>
    <w:rsid w:val="0076173E"/>
    <w:rsid w:val="00762771"/>
    <w:rsid w:val="00762A25"/>
    <w:rsid w:val="00772053"/>
    <w:rsid w:val="007722AD"/>
    <w:rsid w:val="00774C3B"/>
    <w:rsid w:val="00775C9D"/>
    <w:rsid w:val="00776754"/>
    <w:rsid w:val="0077680D"/>
    <w:rsid w:val="00776B08"/>
    <w:rsid w:val="00777E45"/>
    <w:rsid w:val="0078008C"/>
    <w:rsid w:val="00781105"/>
    <w:rsid w:val="0078209B"/>
    <w:rsid w:val="007836DF"/>
    <w:rsid w:val="00785810"/>
    <w:rsid w:val="00790349"/>
    <w:rsid w:val="00790728"/>
    <w:rsid w:val="00791779"/>
    <w:rsid w:val="00796BF8"/>
    <w:rsid w:val="00796D9D"/>
    <w:rsid w:val="007A0D13"/>
    <w:rsid w:val="007A1323"/>
    <w:rsid w:val="007A3688"/>
    <w:rsid w:val="007A6315"/>
    <w:rsid w:val="007A7A92"/>
    <w:rsid w:val="007B12D3"/>
    <w:rsid w:val="007B3AEF"/>
    <w:rsid w:val="007B5FC2"/>
    <w:rsid w:val="007B61B9"/>
    <w:rsid w:val="007B7C23"/>
    <w:rsid w:val="007C0157"/>
    <w:rsid w:val="007C0183"/>
    <w:rsid w:val="007C32CF"/>
    <w:rsid w:val="007C339E"/>
    <w:rsid w:val="007C4CE5"/>
    <w:rsid w:val="007C5273"/>
    <w:rsid w:val="007C7B52"/>
    <w:rsid w:val="007D1A3D"/>
    <w:rsid w:val="007D2E72"/>
    <w:rsid w:val="007D4AB2"/>
    <w:rsid w:val="007E0779"/>
    <w:rsid w:val="007E23A1"/>
    <w:rsid w:val="007E3429"/>
    <w:rsid w:val="007E3567"/>
    <w:rsid w:val="007E5496"/>
    <w:rsid w:val="007E5E81"/>
    <w:rsid w:val="007F046F"/>
    <w:rsid w:val="007F1979"/>
    <w:rsid w:val="007F347E"/>
    <w:rsid w:val="007F3ABA"/>
    <w:rsid w:val="007F3BCB"/>
    <w:rsid w:val="007F5174"/>
    <w:rsid w:val="007F7087"/>
    <w:rsid w:val="0080027F"/>
    <w:rsid w:val="00800843"/>
    <w:rsid w:val="008008E6"/>
    <w:rsid w:val="00801198"/>
    <w:rsid w:val="00801ACF"/>
    <w:rsid w:val="00802632"/>
    <w:rsid w:val="00802D1B"/>
    <w:rsid w:val="00803AB7"/>
    <w:rsid w:val="00803E1C"/>
    <w:rsid w:val="00804321"/>
    <w:rsid w:val="00804DE7"/>
    <w:rsid w:val="008077FC"/>
    <w:rsid w:val="00807E18"/>
    <w:rsid w:val="00807EF7"/>
    <w:rsid w:val="00810DAC"/>
    <w:rsid w:val="00812BD2"/>
    <w:rsid w:val="008138A3"/>
    <w:rsid w:val="00813D75"/>
    <w:rsid w:val="00814181"/>
    <w:rsid w:val="008144BD"/>
    <w:rsid w:val="00817DD1"/>
    <w:rsid w:val="00822C12"/>
    <w:rsid w:val="00826333"/>
    <w:rsid w:val="008277E0"/>
    <w:rsid w:val="0083087D"/>
    <w:rsid w:val="008366A3"/>
    <w:rsid w:val="00837CA9"/>
    <w:rsid w:val="00840B37"/>
    <w:rsid w:val="008440B1"/>
    <w:rsid w:val="00851B53"/>
    <w:rsid w:val="008535FE"/>
    <w:rsid w:val="0085383A"/>
    <w:rsid w:val="008558F9"/>
    <w:rsid w:val="00857AB7"/>
    <w:rsid w:val="008649A6"/>
    <w:rsid w:val="0086733F"/>
    <w:rsid w:val="008743E3"/>
    <w:rsid w:val="008748E7"/>
    <w:rsid w:val="00881008"/>
    <w:rsid w:val="0088201C"/>
    <w:rsid w:val="0088788B"/>
    <w:rsid w:val="00891162"/>
    <w:rsid w:val="00891B45"/>
    <w:rsid w:val="00892569"/>
    <w:rsid w:val="00892BD2"/>
    <w:rsid w:val="00893809"/>
    <w:rsid w:val="00895101"/>
    <w:rsid w:val="008971C5"/>
    <w:rsid w:val="008A2314"/>
    <w:rsid w:val="008A232C"/>
    <w:rsid w:val="008A27B8"/>
    <w:rsid w:val="008A5800"/>
    <w:rsid w:val="008A67E0"/>
    <w:rsid w:val="008A7DC7"/>
    <w:rsid w:val="008B07AA"/>
    <w:rsid w:val="008B0E24"/>
    <w:rsid w:val="008B2E37"/>
    <w:rsid w:val="008B6DFA"/>
    <w:rsid w:val="008C00FB"/>
    <w:rsid w:val="008C2BB4"/>
    <w:rsid w:val="008D00B1"/>
    <w:rsid w:val="008E0CA3"/>
    <w:rsid w:val="008E1425"/>
    <w:rsid w:val="008E2978"/>
    <w:rsid w:val="008E3F53"/>
    <w:rsid w:val="008E5982"/>
    <w:rsid w:val="008F2C36"/>
    <w:rsid w:val="008F2D0E"/>
    <w:rsid w:val="008F4CCE"/>
    <w:rsid w:val="008F5AEF"/>
    <w:rsid w:val="008F6827"/>
    <w:rsid w:val="008F749B"/>
    <w:rsid w:val="0090188E"/>
    <w:rsid w:val="00905216"/>
    <w:rsid w:val="00906E8F"/>
    <w:rsid w:val="00907376"/>
    <w:rsid w:val="00907464"/>
    <w:rsid w:val="0090777D"/>
    <w:rsid w:val="0091719A"/>
    <w:rsid w:val="00921910"/>
    <w:rsid w:val="00922F3F"/>
    <w:rsid w:val="009238B5"/>
    <w:rsid w:val="00923940"/>
    <w:rsid w:val="009243D2"/>
    <w:rsid w:val="00924BCF"/>
    <w:rsid w:val="00925B42"/>
    <w:rsid w:val="00927CC8"/>
    <w:rsid w:val="009308E0"/>
    <w:rsid w:val="00930D30"/>
    <w:rsid w:val="00933A26"/>
    <w:rsid w:val="009460A2"/>
    <w:rsid w:val="0094774B"/>
    <w:rsid w:val="0095118C"/>
    <w:rsid w:val="0095350C"/>
    <w:rsid w:val="0095488F"/>
    <w:rsid w:val="0095520F"/>
    <w:rsid w:val="00955E08"/>
    <w:rsid w:val="00960742"/>
    <w:rsid w:val="00961E98"/>
    <w:rsid w:val="0096277F"/>
    <w:rsid w:val="00964BB6"/>
    <w:rsid w:val="009658E4"/>
    <w:rsid w:val="00965CEE"/>
    <w:rsid w:val="00966CBD"/>
    <w:rsid w:val="00967DE3"/>
    <w:rsid w:val="00970226"/>
    <w:rsid w:val="0097064D"/>
    <w:rsid w:val="0097096B"/>
    <w:rsid w:val="009726E4"/>
    <w:rsid w:val="009736F6"/>
    <w:rsid w:val="009751BD"/>
    <w:rsid w:val="009760BC"/>
    <w:rsid w:val="00990B75"/>
    <w:rsid w:val="00993EEF"/>
    <w:rsid w:val="009978A0"/>
    <w:rsid w:val="009A0399"/>
    <w:rsid w:val="009A045A"/>
    <w:rsid w:val="009A5A88"/>
    <w:rsid w:val="009A7000"/>
    <w:rsid w:val="009B0DCA"/>
    <w:rsid w:val="009B493C"/>
    <w:rsid w:val="009B4F26"/>
    <w:rsid w:val="009B524A"/>
    <w:rsid w:val="009B7CC3"/>
    <w:rsid w:val="009B7EB8"/>
    <w:rsid w:val="009C0D90"/>
    <w:rsid w:val="009C3C1F"/>
    <w:rsid w:val="009C519A"/>
    <w:rsid w:val="009D6D20"/>
    <w:rsid w:val="009D749F"/>
    <w:rsid w:val="009E1FE8"/>
    <w:rsid w:val="009E3155"/>
    <w:rsid w:val="009E3CCE"/>
    <w:rsid w:val="009E542A"/>
    <w:rsid w:val="009E6BE3"/>
    <w:rsid w:val="009F0142"/>
    <w:rsid w:val="009F41E1"/>
    <w:rsid w:val="009F521A"/>
    <w:rsid w:val="00A00019"/>
    <w:rsid w:val="00A00265"/>
    <w:rsid w:val="00A07012"/>
    <w:rsid w:val="00A1034E"/>
    <w:rsid w:val="00A15968"/>
    <w:rsid w:val="00A17111"/>
    <w:rsid w:val="00A179C8"/>
    <w:rsid w:val="00A23325"/>
    <w:rsid w:val="00A24373"/>
    <w:rsid w:val="00A26013"/>
    <w:rsid w:val="00A27EF1"/>
    <w:rsid w:val="00A33DA2"/>
    <w:rsid w:val="00A34B08"/>
    <w:rsid w:val="00A3574E"/>
    <w:rsid w:val="00A3645C"/>
    <w:rsid w:val="00A37197"/>
    <w:rsid w:val="00A612A2"/>
    <w:rsid w:val="00A6233C"/>
    <w:rsid w:val="00A62A69"/>
    <w:rsid w:val="00A66BD3"/>
    <w:rsid w:val="00A671A6"/>
    <w:rsid w:val="00A70F80"/>
    <w:rsid w:val="00A71E79"/>
    <w:rsid w:val="00A736F3"/>
    <w:rsid w:val="00A74D2B"/>
    <w:rsid w:val="00A753F2"/>
    <w:rsid w:val="00A76394"/>
    <w:rsid w:val="00A82BC3"/>
    <w:rsid w:val="00A86854"/>
    <w:rsid w:val="00A90755"/>
    <w:rsid w:val="00A94484"/>
    <w:rsid w:val="00A95956"/>
    <w:rsid w:val="00A96EB5"/>
    <w:rsid w:val="00A97723"/>
    <w:rsid w:val="00AA00CC"/>
    <w:rsid w:val="00AA0D86"/>
    <w:rsid w:val="00AA190D"/>
    <w:rsid w:val="00AA3AC1"/>
    <w:rsid w:val="00AA4B49"/>
    <w:rsid w:val="00AA5268"/>
    <w:rsid w:val="00AA63D2"/>
    <w:rsid w:val="00AA68F7"/>
    <w:rsid w:val="00AA6B51"/>
    <w:rsid w:val="00AA75BA"/>
    <w:rsid w:val="00AB1760"/>
    <w:rsid w:val="00AB2A80"/>
    <w:rsid w:val="00AB3D6E"/>
    <w:rsid w:val="00AB4312"/>
    <w:rsid w:val="00AC042E"/>
    <w:rsid w:val="00AC0EB9"/>
    <w:rsid w:val="00AC2D8F"/>
    <w:rsid w:val="00AC3F24"/>
    <w:rsid w:val="00AC5D8E"/>
    <w:rsid w:val="00AC6359"/>
    <w:rsid w:val="00AC6DF1"/>
    <w:rsid w:val="00AC7BCC"/>
    <w:rsid w:val="00AD5932"/>
    <w:rsid w:val="00AD5EFF"/>
    <w:rsid w:val="00AD7202"/>
    <w:rsid w:val="00AD7733"/>
    <w:rsid w:val="00AD7A4F"/>
    <w:rsid w:val="00AE17FE"/>
    <w:rsid w:val="00AE5834"/>
    <w:rsid w:val="00AE615C"/>
    <w:rsid w:val="00AE70B6"/>
    <w:rsid w:val="00AF17A2"/>
    <w:rsid w:val="00B015DD"/>
    <w:rsid w:val="00B036CB"/>
    <w:rsid w:val="00B046C1"/>
    <w:rsid w:val="00B06D5A"/>
    <w:rsid w:val="00B107D3"/>
    <w:rsid w:val="00B11358"/>
    <w:rsid w:val="00B133F9"/>
    <w:rsid w:val="00B2025E"/>
    <w:rsid w:val="00B235D7"/>
    <w:rsid w:val="00B26830"/>
    <w:rsid w:val="00B2698D"/>
    <w:rsid w:val="00B34EE0"/>
    <w:rsid w:val="00B369B2"/>
    <w:rsid w:val="00B36DC4"/>
    <w:rsid w:val="00B37D91"/>
    <w:rsid w:val="00B40906"/>
    <w:rsid w:val="00B40FF4"/>
    <w:rsid w:val="00B4105E"/>
    <w:rsid w:val="00B41278"/>
    <w:rsid w:val="00B4216F"/>
    <w:rsid w:val="00B42184"/>
    <w:rsid w:val="00B4364B"/>
    <w:rsid w:val="00B4480F"/>
    <w:rsid w:val="00B449C0"/>
    <w:rsid w:val="00B50D0D"/>
    <w:rsid w:val="00B60388"/>
    <w:rsid w:val="00B6096B"/>
    <w:rsid w:val="00B61408"/>
    <w:rsid w:val="00B61FB2"/>
    <w:rsid w:val="00B6285F"/>
    <w:rsid w:val="00B63AE0"/>
    <w:rsid w:val="00B64D82"/>
    <w:rsid w:val="00B64FAD"/>
    <w:rsid w:val="00B657F8"/>
    <w:rsid w:val="00B679E7"/>
    <w:rsid w:val="00B70224"/>
    <w:rsid w:val="00B7203E"/>
    <w:rsid w:val="00B743C3"/>
    <w:rsid w:val="00B761CA"/>
    <w:rsid w:val="00B76F0D"/>
    <w:rsid w:val="00B84086"/>
    <w:rsid w:val="00B85AEF"/>
    <w:rsid w:val="00B9281D"/>
    <w:rsid w:val="00B948B4"/>
    <w:rsid w:val="00B97DC6"/>
    <w:rsid w:val="00BA09A4"/>
    <w:rsid w:val="00BA1F53"/>
    <w:rsid w:val="00BA329C"/>
    <w:rsid w:val="00BA5345"/>
    <w:rsid w:val="00BA57BC"/>
    <w:rsid w:val="00BA679F"/>
    <w:rsid w:val="00BA6921"/>
    <w:rsid w:val="00BB0519"/>
    <w:rsid w:val="00BB3D78"/>
    <w:rsid w:val="00BB4024"/>
    <w:rsid w:val="00BB5EA3"/>
    <w:rsid w:val="00BC370B"/>
    <w:rsid w:val="00BC5663"/>
    <w:rsid w:val="00BC6EF9"/>
    <w:rsid w:val="00BD02F4"/>
    <w:rsid w:val="00BD0CBE"/>
    <w:rsid w:val="00BD1FC1"/>
    <w:rsid w:val="00BD29FE"/>
    <w:rsid w:val="00BD78E0"/>
    <w:rsid w:val="00BE2E2A"/>
    <w:rsid w:val="00BE2EE3"/>
    <w:rsid w:val="00BF0F87"/>
    <w:rsid w:val="00BF5C0E"/>
    <w:rsid w:val="00BF60DC"/>
    <w:rsid w:val="00C010B9"/>
    <w:rsid w:val="00C03347"/>
    <w:rsid w:val="00C0512C"/>
    <w:rsid w:val="00C05FD4"/>
    <w:rsid w:val="00C1262A"/>
    <w:rsid w:val="00C209D9"/>
    <w:rsid w:val="00C230D0"/>
    <w:rsid w:val="00C31CDB"/>
    <w:rsid w:val="00C34C13"/>
    <w:rsid w:val="00C41C37"/>
    <w:rsid w:val="00C44D18"/>
    <w:rsid w:val="00C44EE0"/>
    <w:rsid w:val="00C46182"/>
    <w:rsid w:val="00C46887"/>
    <w:rsid w:val="00C50172"/>
    <w:rsid w:val="00C53144"/>
    <w:rsid w:val="00C53A60"/>
    <w:rsid w:val="00C54634"/>
    <w:rsid w:val="00C5687D"/>
    <w:rsid w:val="00C56E87"/>
    <w:rsid w:val="00C65CF4"/>
    <w:rsid w:val="00C65F4E"/>
    <w:rsid w:val="00C65FFD"/>
    <w:rsid w:val="00C670B5"/>
    <w:rsid w:val="00C7393E"/>
    <w:rsid w:val="00C75FB6"/>
    <w:rsid w:val="00C76A01"/>
    <w:rsid w:val="00C80EFA"/>
    <w:rsid w:val="00C82766"/>
    <w:rsid w:val="00C82F60"/>
    <w:rsid w:val="00C8363F"/>
    <w:rsid w:val="00C84290"/>
    <w:rsid w:val="00C869F9"/>
    <w:rsid w:val="00C86EB7"/>
    <w:rsid w:val="00C87C95"/>
    <w:rsid w:val="00C90361"/>
    <w:rsid w:val="00C90477"/>
    <w:rsid w:val="00C933E4"/>
    <w:rsid w:val="00C942D2"/>
    <w:rsid w:val="00C9548E"/>
    <w:rsid w:val="00C96F94"/>
    <w:rsid w:val="00C974CA"/>
    <w:rsid w:val="00CA1328"/>
    <w:rsid w:val="00CA1E65"/>
    <w:rsid w:val="00CA4939"/>
    <w:rsid w:val="00CA6552"/>
    <w:rsid w:val="00CB28A3"/>
    <w:rsid w:val="00CB2FDC"/>
    <w:rsid w:val="00CB5147"/>
    <w:rsid w:val="00CB78FE"/>
    <w:rsid w:val="00CC02E2"/>
    <w:rsid w:val="00CC7EC7"/>
    <w:rsid w:val="00CD06EC"/>
    <w:rsid w:val="00CD1D7C"/>
    <w:rsid w:val="00CD270C"/>
    <w:rsid w:val="00CD2924"/>
    <w:rsid w:val="00CE3E69"/>
    <w:rsid w:val="00CF0B51"/>
    <w:rsid w:val="00CF263F"/>
    <w:rsid w:val="00CF3C6A"/>
    <w:rsid w:val="00CF5A9F"/>
    <w:rsid w:val="00CF5DD9"/>
    <w:rsid w:val="00CF7A6A"/>
    <w:rsid w:val="00D0588B"/>
    <w:rsid w:val="00D05BCF"/>
    <w:rsid w:val="00D06D21"/>
    <w:rsid w:val="00D06D27"/>
    <w:rsid w:val="00D10845"/>
    <w:rsid w:val="00D136C8"/>
    <w:rsid w:val="00D13F82"/>
    <w:rsid w:val="00D1467F"/>
    <w:rsid w:val="00D14D6E"/>
    <w:rsid w:val="00D209B4"/>
    <w:rsid w:val="00D20E55"/>
    <w:rsid w:val="00D225B7"/>
    <w:rsid w:val="00D242C2"/>
    <w:rsid w:val="00D2527B"/>
    <w:rsid w:val="00D30326"/>
    <w:rsid w:val="00D42277"/>
    <w:rsid w:val="00D444E8"/>
    <w:rsid w:val="00D4620F"/>
    <w:rsid w:val="00D4746A"/>
    <w:rsid w:val="00D50056"/>
    <w:rsid w:val="00D52B05"/>
    <w:rsid w:val="00D532E4"/>
    <w:rsid w:val="00D63BB2"/>
    <w:rsid w:val="00D6583A"/>
    <w:rsid w:val="00D65889"/>
    <w:rsid w:val="00D6761A"/>
    <w:rsid w:val="00D729A8"/>
    <w:rsid w:val="00D757A9"/>
    <w:rsid w:val="00D758C4"/>
    <w:rsid w:val="00D7634F"/>
    <w:rsid w:val="00D805BC"/>
    <w:rsid w:val="00D80CA6"/>
    <w:rsid w:val="00D81AE4"/>
    <w:rsid w:val="00D82F40"/>
    <w:rsid w:val="00D85FA1"/>
    <w:rsid w:val="00D87774"/>
    <w:rsid w:val="00D90323"/>
    <w:rsid w:val="00D912C6"/>
    <w:rsid w:val="00D9136F"/>
    <w:rsid w:val="00D93519"/>
    <w:rsid w:val="00D9573B"/>
    <w:rsid w:val="00D971C5"/>
    <w:rsid w:val="00DA02F6"/>
    <w:rsid w:val="00DA07B8"/>
    <w:rsid w:val="00DA1BD9"/>
    <w:rsid w:val="00DA2A67"/>
    <w:rsid w:val="00DA355E"/>
    <w:rsid w:val="00DA49A7"/>
    <w:rsid w:val="00DA6085"/>
    <w:rsid w:val="00DA6543"/>
    <w:rsid w:val="00DA71B7"/>
    <w:rsid w:val="00DA7555"/>
    <w:rsid w:val="00DB1BA3"/>
    <w:rsid w:val="00DB3AA8"/>
    <w:rsid w:val="00DB51A1"/>
    <w:rsid w:val="00DB5D87"/>
    <w:rsid w:val="00DB5FFA"/>
    <w:rsid w:val="00DB606E"/>
    <w:rsid w:val="00DB61BC"/>
    <w:rsid w:val="00DB69E1"/>
    <w:rsid w:val="00DB76C0"/>
    <w:rsid w:val="00DB7AD4"/>
    <w:rsid w:val="00DC0FB9"/>
    <w:rsid w:val="00DC1195"/>
    <w:rsid w:val="00DC25A6"/>
    <w:rsid w:val="00DC2BA5"/>
    <w:rsid w:val="00DC55A9"/>
    <w:rsid w:val="00DC55E3"/>
    <w:rsid w:val="00DC77FA"/>
    <w:rsid w:val="00DD0382"/>
    <w:rsid w:val="00DD048E"/>
    <w:rsid w:val="00DD2E51"/>
    <w:rsid w:val="00DD45E7"/>
    <w:rsid w:val="00DD4EBA"/>
    <w:rsid w:val="00DD544A"/>
    <w:rsid w:val="00DD5CED"/>
    <w:rsid w:val="00DD6694"/>
    <w:rsid w:val="00DE0D24"/>
    <w:rsid w:val="00DE25FB"/>
    <w:rsid w:val="00DE3663"/>
    <w:rsid w:val="00DE5B9D"/>
    <w:rsid w:val="00DF0C8F"/>
    <w:rsid w:val="00DF120F"/>
    <w:rsid w:val="00DF25BF"/>
    <w:rsid w:val="00E04579"/>
    <w:rsid w:val="00E04D6F"/>
    <w:rsid w:val="00E07B7A"/>
    <w:rsid w:val="00E11B1E"/>
    <w:rsid w:val="00E1369A"/>
    <w:rsid w:val="00E14840"/>
    <w:rsid w:val="00E210C4"/>
    <w:rsid w:val="00E21E37"/>
    <w:rsid w:val="00E2221C"/>
    <w:rsid w:val="00E2245A"/>
    <w:rsid w:val="00E2486C"/>
    <w:rsid w:val="00E25169"/>
    <w:rsid w:val="00E25C93"/>
    <w:rsid w:val="00E25F40"/>
    <w:rsid w:val="00E30126"/>
    <w:rsid w:val="00E30235"/>
    <w:rsid w:val="00E31387"/>
    <w:rsid w:val="00E313E5"/>
    <w:rsid w:val="00E317C7"/>
    <w:rsid w:val="00E4226F"/>
    <w:rsid w:val="00E42297"/>
    <w:rsid w:val="00E43913"/>
    <w:rsid w:val="00E50182"/>
    <w:rsid w:val="00E576D5"/>
    <w:rsid w:val="00E6089F"/>
    <w:rsid w:val="00E63916"/>
    <w:rsid w:val="00E64107"/>
    <w:rsid w:val="00E65B87"/>
    <w:rsid w:val="00E6643E"/>
    <w:rsid w:val="00E66447"/>
    <w:rsid w:val="00E755C6"/>
    <w:rsid w:val="00E76F46"/>
    <w:rsid w:val="00E77C8A"/>
    <w:rsid w:val="00E815F9"/>
    <w:rsid w:val="00E817FF"/>
    <w:rsid w:val="00E82529"/>
    <w:rsid w:val="00E828BD"/>
    <w:rsid w:val="00E82E84"/>
    <w:rsid w:val="00E830D1"/>
    <w:rsid w:val="00E843DE"/>
    <w:rsid w:val="00E85B33"/>
    <w:rsid w:val="00E954DB"/>
    <w:rsid w:val="00E95A23"/>
    <w:rsid w:val="00E95AE2"/>
    <w:rsid w:val="00EA0CF0"/>
    <w:rsid w:val="00EA13BB"/>
    <w:rsid w:val="00EA242B"/>
    <w:rsid w:val="00EA76B6"/>
    <w:rsid w:val="00EB046A"/>
    <w:rsid w:val="00EB3D8B"/>
    <w:rsid w:val="00EB5B79"/>
    <w:rsid w:val="00EB6AAB"/>
    <w:rsid w:val="00EC0794"/>
    <w:rsid w:val="00EC3B45"/>
    <w:rsid w:val="00EC427D"/>
    <w:rsid w:val="00ED057D"/>
    <w:rsid w:val="00ED0C12"/>
    <w:rsid w:val="00ED1B79"/>
    <w:rsid w:val="00ED2341"/>
    <w:rsid w:val="00ED4FA7"/>
    <w:rsid w:val="00ED6246"/>
    <w:rsid w:val="00EE1D0D"/>
    <w:rsid w:val="00EE2BA8"/>
    <w:rsid w:val="00EE5B5A"/>
    <w:rsid w:val="00EE7673"/>
    <w:rsid w:val="00EE7DED"/>
    <w:rsid w:val="00EF0C15"/>
    <w:rsid w:val="00EF3B98"/>
    <w:rsid w:val="00EF3FBD"/>
    <w:rsid w:val="00F0183F"/>
    <w:rsid w:val="00F0343C"/>
    <w:rsid w:val="00F03725"/>
    <w:rsid w:val="00F04312"/>
    <w:rsid w:val="00F057F7"/>
    <w:rsid w:val="00F10C11"/>
    <w:rsid w:val="00F13D0E"/>
    <w:rsid w:val="00F14C2A"/>
    <w:rsid w:val="00F21F8D"/>
    <w:rsid w:val="00F22AF8"/>
    <w:rsid w:val="00F24A80"/>
    <w:rsid w:val="00F24B3F"/>
    <w:rsid w:val="00F3035A"/>
    <w:rsid w:val="00F32024"/>
    <w:rsid w:val="00F32D22"/>
    <w:rsid w:val="00F338FF"/>
    <w:rsid w:val="00F40025"/>
    <w:rsid w:val="00F401B9"/>
    <w:rsid w:val="00F42CAA"/>
    <w:rsid w:val="00F519BB"/>
    <w:rsid w:val="00F65629"/>
    <w:rsid w:val="00F748EF"/>
    <w:rsid w:val="00F7545F"/>
    <w:rsid w:val="00F7723F"/>
    <w:rsid w:val="00F7795C"/>
    <w:rsid w:val="00F77B90"/>
    <w:rsid w:val="00F8741F"/>
    <w:rsid w:val="00F87EF0"/>
    <w:rsid w:val="00F9220E"/>
    <w:rsid w:val="00F96216"/>
    <w:rsid w:val="00FA5560"/>
    <w:rsid w:val="00FA5D23"/>
    <w:rsid w:val="00FB1766"/>
    <w:rsid w:val="00FB236A"/>
    <w:rsid w:val="00FB495B"/>
    <w:rsid w:val="00FB6D7A"/>
    <w:rsid w:val="00FC2899"/>
    <w:rsid w:val="00FC2B9A"/>
    <w:rsid w:val="00FC32F2"/>
    <w:rsid w:val="00FC3566"/>
    <w:rsid w:val="00FC39A7"/>
    <w:rsid w:val="00FC4724"/>
    <w:rsid w:val="00FC53A1"/>
    <w:rsid w:val="00FC6F7B"/>
    <w:rsid w:val="00FD10A9"/>
    <w:rsid w:val="00FD211D"/>
    <w:rsid w:val="00FD4036"/>
    <w:rsid w:val="00FD5313"/>
    <w:rsid w:val="00FD6AF3"/>
    <w:rsid w:val="00FE225A"/>
    <w:rsid w:val="00FE3D4E"/>
    <w:rsid w:val="00FE40A1"/>
    <w:rsid w:val="00FF0403"/>
    <w:rsid w:val="00FF057A"/>
    <w:rsid w:val="00FF37D3"/>
    <w:rsid w:val="00FF6F9E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enu v:ext="edit" strokecolor="none [1951]"/>
    </o:shapedefaults>
    <o:shapelayout v:ext="edit">
      <o:idmap v:ext="edit" data="1"/>
      <o:regrouptable v:ext="edit">
        <o:entry new="1" old="0"/>
        <o:entry new="3" old="0"/>
        <o:entry new="4" old="3"/>
        <o:entry new="5" old="0"/>
      </o:regrouptable>
    </o:shapelayout>
  </w:shapeDefaults>
  <w:decimalSymbol w:val=","/>
  <w:listSeparator w:val=";"/>
  <w14:docId w14:val="1ACA587D"/>
  <w15:docId w15:val="{3E794281-3822-4DDE-A35E-26EC282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E3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C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527B"/>
    <w:pPr>
      <w:spacing w:before="100" w:beforeAutospacing="1" w:after="100" w:afterAutospacing="1"/>
      <w:ind w:firstLine="432"/>
      <w:jc w:val="both"/>
      <w:outlineLvl w:val="1"/>
    </w:pPr>
    <w:rPr>
      <w:rFonts w:eastAsia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27B"/>
    <w:rPr>
      <w:iCs/>
      <w:sz w:val="24"/>
      <w:szCs w:val="24"/>
    </w:rPr>
  </w:style>
  <w:style w:type="character" w:customStyle="1" w:styleId="FootnoteTextChar">
    <w:name w:val="Footnote Text Char"/>
    <w:aliases w:val="DNV-FT Char Char,DNV-FT Char1,DNV-FT Char Char Char Char,Char1 Char,Footnote Text Char1 Char,Footnote Text Char Char1 Char,Footnote Text Char4 Char Char Char,Footnote Text Char1 Char1 Char1 Char Char,ABA Footnote Text Char,fn Char"/>
    <w:basedOn w:val="DefaultParagraphFont"/>
    <w:link w:val="FootnoteText"/>
    <w:rsid w:val="009E6BE3"/>
    <w:rPr>
      <w:rFonts w:ascii="Arial" w:hAnsi="Arial" w:cs="Arial" w:hint="default"/>
    </w:rPr>
  </w:style>
  <w:style w:type="paragraph" w:styleId="FootnoteText">
    <w:name w:val="footnote text"/>
    <w:aliases w:val="DNV-FT Char,DNV-FT,DNV-FT Char Char Char,Char1,Footnote Text Char1,Footnote Text Char Char1,Footnote Text Char4 Char Char,Footnote Text Char1 Char1 Char1 Char,Footnote Text Char Char1 Char1 Char Char,ABA Footnote Text,ALTS FOOTNOTE,fn,f"/>
    <w:basedOn w:val="Normal"/>
    <w:link w:val="FootnoteTextChar"/>
    <w:unhideWhenUsed/>
    <w:rsid w:val="009E6BE3"/>
    <w:rPr>
      <w:rFonts w:ascii="Arial" w:hAnsi="Arial" w:cs="Arial"/>
      <w:sz w:val="20"/>
      <w:szCs w:val="20"/>
    </w:rPr>
  </w:style>
  <w:style w:type="character" w:customStyle="1" w:styleId="FootnoteTextChar2">
    <w:name w:val="Footnote Text Char2"/>
    <w:aliases w:val="DNV-FT Char Char1,DNV-FT Char2,DNV-FT Char Char Char Char1,Char1 Char1,Footnote Text Char1 Char1,Footnote Text Char Char1 Char1,Footnote Text Char4 Char Char Char1,Footnote Text Char1 Char1 Char1 Char Char1,ABA Footnote Text Char1"/>
    <w:basedOn w:val="DefaultParagraphFont"/>
    <w:rsid w:val="009E6BE3"/>
    <w:rPr>
      <w:rFonts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BE3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nhideWhenUsed/>
    <w:rsid w:val="009E6BE3"/>
  </w:style>
  <w:style w:type="character" w:customStyle="1" w:styleId="FooterChar">
    <w:name w:val="Footer Char"/>
    <w:basedOn w:val="DefaultParagraphFont"/>
    <w:link w:val="Footer"/>
    <w:rsid w:val="009E6BE3"/>
    <w:rPr>
      <w:rFonts w:ascii="Times New Roman" w:hAnsi="Times New Roman" w:cs="Times New Roman" w:hint="default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E6BE3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E6BE3"/>
    <w:rPr>
      <w:rFonts w:ascii="Times New Roman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E3"/>
    <w:rPr>
      <w:rFonts w:ascii="Tahoma" w:hAnsi="Tahoma" w:cs="Tahoma" w:hint="default"/>
    </w:rPr>
  </w:style>
  <w:style w:type="paragraph" w:customStyle="1" w:styleId="ECCParagraph">
    <w:name w:val="ECC Paragraph"/>
    <w:basedOn w:val="Normal"/>
    <w:rsid w:val="009E6BE3"/>
    <w:pPr>
      <w:spacing w:after="240"/>
      <w:jc w:val="both"/>
    </w:pPr>
    <w:rPr>
      <w:rFonts w:ascii="Arial" w:hAnsi="Arial" w:cs="Arial"/>
      <w:sz w:val="20"/>
      <w:szCs w:val="20"/>
    </w:rPr>
  </w:style>
  <w:style w:type="paragraph" w:customStyle="1" w:styleId="Reporttitledescription">
    <w:name w:val="Report title/description"/>
    <w:basedOn w:val="Normal"/>
    <w:rsid w:val="009E6BE3"/>
    <w:pPr>
      <w:spacing w:before="600" w:line="288" w:lineRule="auto"/>
      <w:ind w:left="3402"/>
    </w:pPr>
    <w:rPr>
      <w:rFonts w:ascii="Arial" w:hAnsi="Arial" w:cs="Arial"/>
    </w:rPr>
  </w:style>
  <w:style w:type="character" w:styleId="FootnoteReference">
    <w:name w:val="footnote reference"/>
    <w:aliases w:val="Footnote Reference/,Appel note de bas de p,Footnote symbol,Appel note de bas de p + (Asian) Batang,Black,(NECG) Footnote Reference,Fussnotenzeichen"/>
    <w:basedOn w:val="DefaultParagraphFont"/>
    <w:semiHidden/>
    <w:unhideWhenUsed/>
    <w:rsid w:val="009E6B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6BE3"/>
  </w:style>
  <w:style w:type="character" w:styleId="Hyperlink">
    <w:name w:val="Hyperlink"/>
    <w:basedOn w:val="DefaultParagraphFont"/>
    <w:uiPriority w:val="99"/>
    <w:semiHidden/>
    <w:unhideWhenUsed/>
    <w:rsid w:val="009E6B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E3"/>
    <w:rPr>
      <w:color w:val="800080"/>
      <w:u w:val="single"/>
    </w:rPr>
  </w:style>
  <w:style w:type="paragraph" w:styleId="Revision">
    <w:name w:val="Revision"/>
    <w:hidden/>
    <w:uiPriority w:val="99"/>
    <w:semiHidden/>
    <w:rsid w:val="00907376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4C7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0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EE"/>
    <w:rPr>
      <w:rFonts w:eastAsiaTheme="minorEastAsia"/>
      <w:sz w:val="24"/>
      <w:szCs w:val="24"/>
    </w:rPr>
  </w:style>
  <w:style w:type="paragraph" w:customStyle="1" w:styleId="Default">
    <w:name w:val="Default"/>
    <w:rsid w:val="00AE70B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GB"/>
    </w:rPr>
  </w:style>
  <w:style w:type="character" w:customStyle="1" w:styleId="hps">
    <w:name w:val="hps"/>
    <w:basedOn w:val="DefaultParagraphFont"/>
    <w:rsid w:val="00B37D91"/>
  </w:style>
  <w:style w:type="character" w:customStyle="1" w:styleId="atn">
    <w:name w:val="atn"/>
    <w:basedOn w:val="DefaultParagraphFont"/>
    <w:rsid w:val="00FB6D7A"/>
  </w:style>
  <w:style w:type="paragraph" w:styleId="NormalWeb">
    <w:name w:val="Normal (Web)"/>
    <w:basedOn w:val="Normal"/>
    <w:uiPriority w:val="99"/>
    <w:unhideWhenUsed/>
    <w:rsid w:val="007A6315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Normalerostyle">
    <w:name w:val="Normal.erostyle"/>
    <w:link w:val="NormalerostyleChar"/>
    <w:rsid w:val="004D7123"/>
    <w:pPr>
      <w:suppressAutoHyphens/>
    </w:pPr>
    <w:rPr>
      <w:lang w:val="da-DK" w:eastAsia="en-IE"/>
    </w:rPr>
  </w:style>
  <w:style w:type="character" w:customStyle="1" w:styleId="NormalerostyleChar">
    <w:name w:val="Normal.erostyle Char"/>
    <w:link w:val="Normalerostyle"/>
    <w:rsid w:val="004D7123"/>
    <w:rPr>
      <w:lang w:val="da-DK" w:eastAsia="en-IE"/>
    </w:rPr>
  </w:style>
  <w:style w:type="paragraph" w:customStyle="1" w:styleId="ECCTabletext">
    <w:name w:val="ECC Table text"/>
    <w:basedOn w:val="Normal"/>
    <w:qFormat/>
    <w:rsid w:val="003E04DA"/>
    <w:pPr>
      <w:spacing w:after="60"/>
      <w:jc w:val="both"/>
    </w:pPr>
    <w:rPr>
      <w:rFonts w:ascii="Arial" w:eastAsia="Calibri" w:hAnsi="Arial"/>
      <w:sz w:val="20"/>
      <w:szCs w:val="22"/>
      <w:lang w:val="en-GB"/>
    </w:rPr>
  </w:style>
  <w:style w:type="paragraph" w:customStyle="1" w:styleId="ECCTablenote">
    <w:name w:val="ECC Table note"/>
    <w:basedOn w:val="ECCParagraph"/>
    <w:next w:val="ECCParagraph"/>
    <w:autoRedefine/>
    <w:qFormat/>
    <w:rsid w:val="000E0D53"/>
    <w:pPr>
      <w:keepNext/>
      <w:keepLines/>
      <w:spacing w:before="60" w:after="60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ECCHLorange">
    <w:name w:val="ECC HL orange"/>
    <w:uiPriority w:val="1"/>
    <w:qFormat/>
    <w:rsid w:val="003E04DA"/>
    <w:rPr>
      <w:bdr w:val="none" w:sz="0" w:space="0" w:color="auto"/>
      <w:shd w:val="solid" w:color="FFC000" w:fill="auto"/>
    </w:rPr>
  </w:style>
  <w:style w:type="character" w:customStyle="1" w:styleId="ECCHLyellow">
    <w:name w:val="ECC HL yellow"/>
    <w:uiPriority w:val="1"/>
    <w:qFormat/>
    <w:rsid w:val="00D242C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styleId="ListBullet">
    <w:name w:val="List Bullet"/>
    <w:basedOn w:val="Normal"/>
    <w:uiPriority w:val="99"/>
    <w:rsid w:val="006F1CBC"/>
    <w:pPr>
      <w:numPr>
        <w:numId w:val="15"/>
      </w:numPr>
      <w:suppressAutoHyphens/>
      <w:spacing w:after="240"/>
      <w:jc w:val="both"/>
    </w:pPr>
    <w:rPr>
      <w:rFonts w:eastAsia="Times New Roman"/>
      <w:lang w:val="en-GB" w:eastAsia="ar-SA"/>
    </w:rPr>
  </w:style>
  <w:style w:type="paragraph" w:customStyle="1" w:styleId="ECCParBulleted">
    <w:name w:val="ECC Par Bulleted"/>
    <w:basedOn w:val="ECCParagraph"/>
    <w:rsid w:val="00927CC8"/>
    <w:pPr>
      <w:numPr>
        <w:numId w:val="17"/>
      </w:numPr>
      <w:spacing w:after="120"/>
    </w:pPr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90477"/>
  </w:style>
  <w:style w:type="paragraph" w:customStyle="1" w:styleId="ECCTabletitle">
    <w:name w:val="ECC Table title"/>
    <w:basedOn w:val="Normal"/>
    <w:next w:val="ECCParagraph"/>
    <w:autoRedefine/>
    <w:uiPriority w:val="99"/>
    <w:rsid w:val="0076173E"/>
    <w:pPr>
      <w:numPr>
        <w:numId w:val="20"/>
      </w:numPr>
      <w:spacing w:before="360" w:after="240"/>
      <w:ind w:left="360"/>
      <w:jc w:val="center"/>
    </w:pPr>
    <w:rPr>
      <w:rFonts w:ascii="Arial" w:eastAsia="Times New Roman" w:hAnsi="Arial"/>
      <w:b/>
      <w:color w:val="D2232A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72C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2CC9"/>
    <w:pPr>
      <w:spacing w:after="120"/>
      <w:ind w:left="360"/>
    </w:pPr>
    <w:rPr>
      <w:rFonts w:ascii="Arial" w:eastAsia="Calibri" w:hAnsi="Arial" w:cs="Helvetic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2CC9"/>
    <w:rPr>
      <w:rFonts w:ascii="Arial" w:eastAsia="Calibri" w:hAnsi="Arial" w:cs="Helvetica"/>
      <w:sz w:val="22"/>
      <w:szCs w:val="22"/>
    </w:rPr>
  </w:style>
  <w:style w:type="paragraph" w:styleId="NoSpacing">
    <w:name w:val="No Spacing"/>
    <w:uiPriority w:val="1"/>
    <w:qFormat/>
    <w:rsid w:val="00372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8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0548-F89F-49D4-9B06-C6752E44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3483</Words>
  <Characters>19859</Characters>
  <Application>Microsoft Office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 од xx</vt:lpstr>
    </vt:vector>
  </TitlesOfParts>
  <Company>Hewlett-Packard Company</Company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 од xx</dc:title>
  <dc:creator>Aleksandra Vucic</dc:creator>
  <cp:lastModifiedBy>Milica Bosnic</cp:lastModifiedBy>
  <cp:revision>2</cp:revision>
  <cp:lastPrinted>2019-12-04T11:08:00Z</cp:lastPrinted>
  <dcterms:created xsi:type="dcterms:W3CDTF">2020-09-21T10:41:00Z</dcterms:created>
  <dcterms:modified xsi:type="dcterms:W3CDTF">2020-09-21T10:41:00Z</dcterms:modified>
</cp:coreProperties>
</file>